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UNITED STATES</w:t>
            </w: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gridSpan w:val="3"/>
          </w:tcPr>
          <w:p>
            <w:pPr>
              <w:jc w:val="center"/>
              <w:ind w:left="89"/>
              <w:spacing w:after="0"/>
              <w:rPr>
                <w:sz w:val="20"/>
                <w:szCs w:val="20"/>
                <w:color w:val="auto"/>
              </w:rPr>
            </w:pPr>
            <w:r>
              <w:rPr>
                <w:rFonts w:ascii="Times New Roman" w:cs="Times New Roman" w:eastAsia="Times New Roman" w:hAnsi="Times New Roman"/>
                <w:sz w:val="14"/>
                <w:szCs w:val="14"/>
                <w:color w:val="auto"/>
              </w:rPr>
              <w:t>SECURITIES AND EXCHANGE COMMISSION</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Washington, D.C. 20549</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(Mark One)</w:t>
            </w:r>
          </w:p>
        </w:tc>
        <w:tc>
          <w:tcPr>
            <w:tcW w:w="420" w:type="dxa"/>
            <w:vAlign w:val="bottom"/>
          </w:tcPr>
          <w:p>
            <w:pPr>
              <w:spacing w:after="0"/>
              <w:rPr>
                <w:sz w:val="24"/>
                <w:szCs w:val="24"/>
                <w:color w:val="auto"/>
              </w:rPr>
            </w:pPr>
          </w:p>
        </w:tc>
        <w:tc>
          <w:tcPr>
            <w:tcW w:w="2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FORM 10-Q</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0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gridSpan w:val="8"/>
          </w:tcPr>
          <w:p>
            <w:pPr>
              <w:jc w:val="center"/>
              <w:ind w:right="1200"/>
              <w:spacing w:after="0"/>
              <w:rPr>
                <w:sz w:val="20"/>
                <w:szCs w:val="20"/>
                <w:color w:val="auto"/>
              </w:rPr>
            </w:pPr>
            <w:r>
              <w:rPr>
                <w:rFonts w:ascii="Times New Roman" w:cs="Times New Roman" w:eastAsia="Times New Roman" w:hAnsi="Times New Roman"/>
                <w:sz w:val="14"/>
                <w:szCs w:val="14"/>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40" w:type="dxa"/>
            <w:vAlign w:val="bottom"/>
            <w:gridSpan w:val="3"/>
          </w:tcPr>
          <w:p>
            <w:pPr>
              <w:jc w:val="center"/>
              <w:ind w:left="129"/>
              <w:spacing w:after="0" w:line="142" w:lineRule="exact"/>
              <w:rPr>
                <w:sz w:val="20"/>
                <w:szCs w:val="20"/>
                <w:color w:val="auto"/>
              </w:rPr>
            </w:pPr>
            <w:r>
              <w:rPr>
                <w:rFonts w:ascii="Times New Roman" w:cs="Times New Roman" w:eastAsia="Times New Roman" w:hAnsi="Times New Roman"/>
                <w:sz w:val="14"/>
                <w:szCs w:val="14"/>
                <w:color w:val="auto"/>
              </w:rPr>
              <w:t>For the Quarterly Period Ended January 31, 2025</w:t>
            </w: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w:t>
            </w: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gridSpan w:val="8"/>
          </w:tcPr>
          <w:p>
            <w:pPr>
              <w:jc w:val="center"/>
              <w:ind w:right="1200"/>
              <w:spacing w:after="0"/>
              <w:rPr>
                <w:sz w:val="20"/>
                <w:szCs w:val="20"/>
                <w:color w:val="auto"/>
              </w:rPr>
            </w:pPr>
            <w:r>
              <w:rPr>
                <w:rFonts w:ascii="Times New Roman" w:cs="Times New Roman" w:eastAsia="Times New Roman" w:hAnsi="Times New Roman"/>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60" w:type="dxa"/>
            <w:vAlign w:val="bottom"/>
            <w:gridSpan w:val="7"/>
          </w:tcPr>
          <w:p>
            <w:pPr>
              <w:jc w:val="center"/>
              <w:ind w:right="1880"/>
              <w:spacing w:after="0"/>
              <w:rPr>
                <w:sz w:val="20"/>
                <w:szCs w:val="20"/>
                <w:color w:val="auto"/>
              </w:rPr>
            </w:pPr>
            <w:r>
              <w:rPr>
                <w:rFonts w:ascii="Times New Roman" w:cs="Times New Roman" w:eastAsia="Times New Roman" w:hAnsi="Times New Roman"/>
                <w:sz w:val="14"/>
                <w:szCs w:val="14"/>
                <w:color w:val="auto"/>
              </w:rPr>
              <w:t>For the transition period from _____________ to ______________</w:t>
            </w:r>
          </w:p>
        </w:tc>
        <w:tc>
          <w:tcPr>
            <w:tcW w:w="0" w:type="dxa"/>
            <w:vAlign w:val="bottom"/>
          </w:tcPr>
          <w:p>
            <w:pPr>
              <w:spacing w:after="0"/>
              <w:rPr>
                <w:sz w:val="1"/>
                <w:szCs w:val="1"/>
                <w:color w:val="auto"/>
              </w:rPr>
            </w:pPr>
          </w:p>
        </w:tc>
      </w:tr>
      <w:tr>
        <w:trPr>
          <w:trHeight w:val="435"/>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Commission File Number 001-12622</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OIL-DRI CORPORATION OF AMERICA</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80" w:type="dxa"/>
            <w:vAlign w:val="bottom"/>
            <w:gridSpan w:val="6"/>
          </w:tcPr>
          <w:p>
            <w:pPr>
              <w:jc w:val="center"/>
              <w:ind w:right="2600"/>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5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3"/>
          </w:tcPr>
          <w:p>
            <w:pPr>
              <w:jc w:val="center"/>
              <w:ind w:left="669"/>
              <w:spacing w:after="0"/>
              <w:rPr>
                <w:sz w:val="20"/>
                <w:szCs w:val="20"/>
                <w:color w:val="auto"/>
              </w:rPr>
            </w:pPr>
            <w:r>
              <w:rPr>
                <w:rFonts w:ascii="Times New Roman" w:cs="Times New Roman" w:eastAsia="Times New Roman" w:hAnsi="Times New Roman"/>
                <w:sz w:val="14"/>
                <w:szCs w:val="14"/>
                <w:color w:val="auto"/>
              </w:rPr>
              <w:t>36-2048898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36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4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410 North Michigan Avenue, Suite 400</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Chicago, Illinois</w:t>
            </w:r>
          </w:p>
        </w:tc>
        <w:tc>
          <w:tcPr>
            <w:tcW w:w="134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2"/>
          </w:tcPr>
          <w:p>
            <w:pPr>
              <w:jc w:val="center"/>
              <w:ind w:left="1309"/>
              <w:spacing w:after="0"/>
              <w:rPr>
                <w:sz w:val="20"/>
                <w:szCs w:val="20"/>
                <w:color w:val="auto"/>
              </w:rPr>
            </w:pPr>
            <w:r>
              <w:rPr>
                <w:rFonts w:ascii="Times New Roman" w:cs="Times New Roman" w:eastAsia="Times New Roman" w:hAnsi="Times New Roman"/>
                <w:sz w:val="14"/>
                <w:szCs w:val="14"/>
                <w:color w:val="auto"/>
              </w:rPr>
              <w:t>60611-4213</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60" w:type="dxa"/>
            <w:vAlign w:val="bottom"/>
            <w:gridSpan w:val="6"/>
          </w:tcPr>
          <w:p>
            <w:pPr>
              <w:jc w:val="center"/>
              <w:ind w:right="5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6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The registrant's telephone number, including area code: (312) 321-1515</w:t>
            </w:r>
          </w:p>
        </w:tc>
        <w:tc>
          <w:tcPr>
            <w:tcW w:w="0" w:type="dxa"/>
            <w:vAlign w:val="bottom"/>
          </w:tcPr>
          <w:p>
            <w:pPr>
              <w:spacing w:after="0"/>
              <w:rPr>
                <w:sz w:val="1"/>
                <w:szCs w:val="1"/>
                <w:color w:val="auto"/>
              </w:rPr>
            </w:pPr>
          </w:p>
        </w:tc>
      </w:tr>
      <w:tr>
        <w:trPr>
          <w:trHeight w:val="233"/>
        </w:trPr>
        <w:tc>
          <w:tcPr>
            <w:tcW w:w="40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4"/>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3"/>
                <w:szCs w:val="23"/>
                <w:color w:val="auto"/>
              </w:rPr>
            </w:pPr>
          </w:p>
        </w:tc>
        <w:tc>
          <w:tcPr>
            <w:tcW w:w="27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60" w:type="dxa"/>
            <w:vAlign w:val="bottom"/>
            <w:gridSpan w:val="6"/>
          </w:tcPr>
          <w:p>
            <w:pPr>
              <w:jc w:val="center"/>
              <w:ind w:left="69"/>
              <w:spacing w:after="0"/>
              <w:rPr>
                <w:sz w:val="20"/>
                <w:szCs w:val="20"/>
                <w:color w:val="auto"/>
              </w:rPr>
            </w:pPr>
            <w:r>
              <w:rPr>
                <w:rFonts w:ascii="Times New Roman" w:cs="Times New Roman" w:eastAsia="Times New Roman" w:hAnsi="Times New Roman"/>
                <w:sz w:val="14"/>
                <w:szCs w:val="14"/>
                <w:color w:val="auto"/>
              </w:rPr>
              <w:t>Common Stock, par value $0.10 per share</w:t>
            </w:r>
          </w:p>
        </w:tc>
        <w:tc>
          <w:tcPr>
            <w:tcW w:w="420" w:type="dxa"/>
            <w:vAlign w:val="bottom"/>
          </w:tcPr>
          <w:p>
            <w:pPr>
              <w:spacing w:after="0"/>
              <w:rPr>
                <w:sz w:val="16"/>
                <w:szCs w:val="16"/>
                <w:color w:val="auto"/>
              </w:rPr>
            </w:pPr>
          </w:p>
        </w:tc>
        <w:tc>
          <w:tcPr>
            <w:tcW w:w="27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ODC</w:t>
            </w: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294640</wp:posOffset>
            </wp:positionH>
            <wp:positionV relativeFrom="page">
              <wp:posOffset>574040</wp:posOffset>
            </wp:positionV>
            <wp:extent cx="69596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9600"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540385</wp:posOffset>
            </wp:positionV>
            <wp:extent cx="69596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9600" cy="13335"/>
                    </a:xfrm>
                    <a:prstGeom prst="rect">
                      <a:avLst/>
                    </a:prstGeom>
                    <a:noFill/>
                  </pic:spPr>
                </pic:pic>
              </a:graphicData>
            </a:graphic>
          </wp:anchor>
        </w:drawing>
      </w: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1037" w:right="339" w:bottom="1440" w:gutter="0" w:footer="0" w:header="0"/>
        </w:sectPr>
      </w:pPr>
    </w:p>
    <w:p>
      <w:pPr>
        <w:spacing w:after="0" w:line="5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o</w:t>
      </w:r>
    </w:p>
    <w:p>
      <w:pPr>
        <w:spacing w:after="0" w:line="2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200" w:lineRule="exact"/>
        <w:rPr>
          <w:sz w:val="24"/>
          <w:szCs w:val="24"/>
          <w:color w:val="auto"/>
        </w:rPr>
      </w:pPr>
    </w:p>
    <w:p>
      <w:pPr>
        <w:sectPr>
          <w:pgSz w:w="11900" w:h="16838" w:orient="portrait"/>
          <w:cols w:equalWidth="0" w:num="2">
            <w:col w:w="7160" w:space="720"/>
            <w:col w:w="3380"/>
          </w:cols>
          <w:pgMar w:left="300" w:top="1037" w:right="339" w:bottom="1440" w:gutter="0" w:footer="0" w:header="0"/>
          <w:type w:val="continuous"/>
        </w:sectPr>
      </w:pPr>
    </w:p>
    <w:p>
      <w:pPr>
        <w:spacing w:after="0" w:line="145" w:lineRule="exact"/>
        <w:rPr>
          <w:sz w:val="24"/>
          <w:szCs w:val="24"/>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2025, 10,320,217 shares of the registrant's Common Stock and 4,269,856 shares of the registrant's Class B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7920" w:type="dxa"/>
            <w:vAlign w:val="bottom"/>
            <w:gridSpan w:val="3"/>
          </w:tcPr>
          <w:p>
            <w:pPr>
              <w:ind w:left="40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6"/>
        </w:trPr>
        <w:tc>
          <w:tcPr>
            <w:tcW w:w="860" w:type="dxa"/>
            <w:vAlign w:val="bottom"/>
          </w:tcPr>
          <w:p>
            <w:pPr>
              <w:spacing w:after="0"/>
              <w:rPr>
                <w:sz w:val="24"/>
                <w:szCs w:val="24"/>
                <w:color w:val="auto"/>
              </w:rPr>
            </w:pPr>
          </w:p>
        </w:tc>
        <w:tc>
          <w:tcPr>
            <w:tcW w:w="7920" w:type="dxa"/>
            <w:vAlign w:val="bottom"/>
            <w:gridSpan w:val="3"/>
          </w:tcPr>
          <w:p>
            <w:pPr>
              <w:ind w:left="364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2380" w:type="dxa"/>
            <w:vAlign w:val="bottom"/>
            <w:gridSpan w:val="4"/>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Item 1:</w:t>
            </w:r>
          </w:p>
        </w:tc>
        <w:tc>
          <w:tcPr>
            <w:tcW w:w="7920" w:type="dxa"/>
            <w:vAlign w:val="bottom"/>
            <w:gridSpan w:val="3"/>
            <w:shd w:val="clear" w:color="auto" w:fill="CCEEFF"/>
          </w:tcPr>
          <w:p>
            <w:pPr>
              <w:ind w:left="320"/>
              <w:spacing w:after="0" w:line="155" w:lineRule="exact"/>
              <w:rPr>
                <w:sz w:val="20"/>
                <w:szCs w:val="20"/>
                <w:color w:val="auto"/>
              </w:rPr>
            </w:pPr>
            <w:r>
              <w:rPr>
                <w:rFonts w:ascii="Times New Roman" w:cs="Times New Roman" w:eastAsia="Times New Roman" w:hAnsi="Times New Roman"/>
                <w:sz w:val="14"/>
                <w:szCs w:val="14"/>
                <w:color w:val="0000FF"/>
              </w:rPr>
              <w:t>Financial Statements</w:t>
            </w:r>
          </w:p>
        </w:tc>
        <w:tc>
          <w:tcPr>
            <w:tcW w:w="19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righ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3</w:t>
            </w: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0" w:type="dxa"/>
            <w:vAlign w:val="bottom"/>
            <w:tcBorders>
              <w:top w:val="single" w:sz="8" w:color="CCEEFF"/>
            </w:tcBorders>
          </w:tcPr>
          <w:p>
            <w:pPr>
              <w:spacing w:after="0"/>
              <w:rPr>
                <w:sz w:val="15"/>
                <w:szCs w:val="15"/>
                <w:color w:val="auto"/>
              </w:rPr>
            </w:pPr>
          </w:p>
        </w:tc>
        <w:tc>
          <w:tcPr>
            <w:tcW w:w="46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4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2:</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24</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top w:val="single" w:sz="8" w:color="CCEEFF"/>
            </w:tcBorders>
          </w:tcPr>
          <w:p>
            <w:pPr>
              <w:spacing w:after="0"/>
              <w:rPr>
                <w:sz w:val="15"/>
                <w:szCs w:val="15"/>
                <w:color w:val="auto"/>
              </w:rPr>
            </w:pPr>
          </w:p>
        </w:tc>
        <w:tc>
          <w:tcPr>
            <w:tcW w:w="462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24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3:</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31</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top w:val="single" w:sz="8" w:color="CCEEFF"/>
            </w:tcBorders>
          </w:tcPr>
          <w:p>
            <w:pPr>
              <w:spacing w:after="0"/>
              <w:rPr>
                <w:sz w:val="15"/>
                <w:szCs w:val="15"/>
                <w:color w:val="auto"/>
              </w:rPr>
            </w:pPr>
          </w:p>
        </w:tc>
        <w:tc>
          <w:tcPr>
            <w:tcW w:w="46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4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4:</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31</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top w:val="single" w:sz="8" w:color="CCEEFF"/>
            </w:tcBorders>
          </w:tcPr>
          <w:p>
            <w:pPr>
              <w:spacing w:after="0"/>
              <w:rPr>
                <w:sz w:val="15"/>
                <w:szCs w:val="15"/>
                <w:color w:val="auto"/>
              </w:rPr>
            </w:pPr>
          </w:p>
        </w:tc>
        <w:tc>
          <w:tcPr>
            <w:tcW w:w="46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4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shd w:val="clear" w:color="auto" w:fill="CCEEFF"/>
          </w:tcPr>
          <w:p>
            <w:pPr>
              <w:spacing w:after="0"/>
              <w:rPr>
                <w:sz w:val="15"/>
                <w:szCs w:val="15"/>
                <w:color w:val="auto"/>
              </w:rPr>
            </w:pPr>
          </w:p>
        </w:tc>
        <w:tc>
          <w:tcPr>
            <w:tcW w:w="7920" w:type="dxa"/>
            <w:vAlign w:val="bottom"/>
            <w:gridSpan w:val="3"/>
            <w:shd w:val="clear" w:color="auto" w:fill="CCEEFF"/>
          </w:tcPr>
          <w:p>
            <w:pPr>
              <w:ind w:left="376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19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1A:</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32</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60" w:type="dxa"/>
            <w:vAlign w:val="bottom"/>
            <w:tcBorders>
              <w:top w:val="single" w:sz="8" w:color="CCEEFF"/>
            </w:tcBorders>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2:</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33</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60" w:type="dxa"/>
            <w:vAlign w:val="bottom"/>
            <w:tcBorders>
              <w:top w:val="single" w:sz="8" w:color="CCEEFF"/>
            </w:tcBorders>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4:</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33</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60" w:type="dxa"/>
            <w:vAlign w:val="bottom"/>
            <w:tcBorders>
              <w:top w:val="single" w:sz="8" w:color="CCEEFF"/>
            </w:tcBorders>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Item 6:</w:t>
            </w: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2100" w:type="dxa"/>
            <w:vAlign w:val="bottom"/>
            <w:gridSpan w:val="3"/>
            <w:shd w:val="clear" w:color="auto" w:fill="CCEEFF"/>
          </w:tcPr>
          <w:p>
            <w:pPr>
              <w:jc w:val="center"/>
              <w:ind w:left="1729"/>
              <w:spacing w:after="0" w:line="149" w:lineRule="exact"/>
              <w:rPr>
                <w:sz w:val="20"/>
                <w:szCs w:val="20"/>
                <w:color w:val="auto"/>
              </w:rPr>
            </w:pPr>
            <w:r>
              <w:rPr>
                <w:rFonts w:ascii="Times New Roman" w:cs="Times New Roman" w:eastAsia="Times New Roman" w:hAnsi="Times New Roman"/>
                <w:sz w:val="14"/>
                <w:szCs w:val="14"/>
                <w:color w:val="0000FF"/>
                <w:w w:val="99"/>
              </w:rPr>
              <w:t>34</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top w:val="single" w:sz="8" w:color="CCEEFF"/>
            </w:tcBorders>
          </w:tcPr>
          <w:p>
            <w:pPr>
              <w:spacing w:after="0"/>
              <w:rPr>
                <w:sz w:val="15"/>
                <w:szCs w:val="15"/>
                <w:color w:val="auto"/>
              </w:rPr>
            </w:pPr>
          </w:p>
        </w:tc>
        <w:tc>
          <w:tcPr>
            <w:tcW w:w="46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4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rPr>
                <w:sz w:val="12"/>
                <w:szCs w:val="12"/>
                <w:color w:val="auto"/>
              </w:rPr>
            </w:pPr>
          </w:p>
        </w:tc>
        <w:tc>
          <w:tcPr>
            <w:tcW w:w="792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1920" w:type="dxa"/>
            <w:vAlign w:val="bottom"/>
            <w:tcBorders>
              <w:right w:val="single" w:sz="8" w:color="CCEEFF"/>
            </w:tcBorders>
            <w:shd w:val="clear" w:color="auto" w:fill="CCEEFF"/>
          </w:tcPr>
          <w:p>
            <w:pPr>
              <w:spacing w:after="0"/>
              <w:rPr>
                <w:sz w:val="12"/>
                <w:szCs w:val="12"/>
                <w:color w:val="auto"/>
              </w:rPr>
            </w:pPr>
          </w:p>
        </w:tc>
        <w:tc>
          <w:tcPr>
            <w:tcW w:w="1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w w:val="71"/>
              </w:rPr>
              <w:t>35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86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920" w:type="dxa"/>
            <w:vAlign w:val="bottom"/>
            <w:tcBorders>
              <w:right w:val="single" w:sz="8" w:color="0000FF"/>
            </w:tcBorders>
            <w:shd w:val="clear" w:color="auto" w:fill="CCEE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Certain statements in this report, including, but not limited to, under the heading "Management’s Discussion and Analysis of Financial Condition and Results of Operations," and elsewhere in this report and in other documents that we file with the Securities and Exchange Commission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and in Item 1A, "Risk Factors," of our Annual Report on Form 10-K for the fiscal year ended July 31, 2024 and from time to time in our other filings with the SEC.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5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TRADEMARK NOTICE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"Oil-Dri" is a registered trademark of Oil-Dri Corporation of America.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8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60" w:type="dxa"/>
            <w:vAlign w:val="bottom"/>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tcPr>
          <w:p>
            <w:pPr>
              <w:jc w:val="center"/>
              <w:ind w:left="1869"/>
              <w:spacing w:after="0"/>
              <w:rPr>
                <w:sz w:val="20"/>
                <w:szCs w:val="20"/>
                <w:color w:val="auto"/>
              </w:rPr>
            </w:pPr>
            <w:r>
              <w:rPr>
                <w:rFonts w:ascii="Times New Roman" w:cs="Times New Roman" w:eastAsia="Times New Roman" w:hAnsi="Times New Roman"/>
                <w:sz w:val="14"/>
                <w:szCs w:val="14"/>
                <w:color w:val="auto"/>
              </w:rPr>
              <w:t>(in thousands, except for share and per share amounts, unaudited)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24"/>
                <w:szCs w:val="24"/>
                <w:color w:val="auto"/>
              </w:rPr>
            </w:pPr>
          </w:p>
        </w:tc>
        <w:tc>
          <w:tcPr>
            <w:tcW w:w="11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360" w:type="dxa"/>
            <w:vAlign w:val="bottom"/>
            <w:gridSpan w:val="3"/>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right w:val="single" w:sz="8" w:color="CCEEFF"/>
            </w:tcBorders>
          </w:tcPr>
          <w:p>
            <w:pPr>
              <w:spacing w:after="0"/>
              <w:rPr>
                <w:sz w:val="16"/>
                <w:szCs w:val="16"/>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23,481</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360" w:type="dxa"/>
            <w:vAlign w:val="bottom"/>
            <w:gridSpan w:val="3"/>
          </w:tcPr>
          <w:p>
            <w:pPr>
              <w:spacing w:after="0" w:line="138" w:lineRule="exact"/>
              <w:rPr>
                <w:sz w:val="20"/>
                <w:szCs w:val="20"/>
                <w:color w:val="auto"/>
              </w:rPr>
            </w:pPr>
            <w:r>
              <w:rPr>
                <w:rFonts w:ascii="Times New Roman" w:cs="Times New Roman" w:eastAsia="Times New Roman" w:hAnsi="Times New Roman"/>
                <w:sz w:val="14"/>
                <w:szCs w:val="14"/>
                <w:color w:val="auto"/>
              </w:rPr>
              <w:t>Accounts receivable, net of allowances</w:t>
            </w:r>
          </w:p>
        </w:tc>
        <w:tc>
          <w:tcPr>
            <w:tcW w:w="2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66,086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 $1,348 and $934 at January 31, 2025 and July 31, 2024, respectively</w:t>
            </w: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62,171</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83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149,016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147,158</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7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Other Assets</w:t>
            </w:r>
          </w:p>
        </w:tc>
        <w:tc>
          <w:tcPr>
            <w:tcW w:w="7580" w:type="dxa"/>
            <w:vAlign w:val="bottom"/>
            <w:tcBorders>
              <w:bottom w:val="single" w:sz="8" w:color="CCEEFF"/>
            </w:tcBorders>
            <w:gridSpan w:val="2"/>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137,416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137,796</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15,443</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360" w:type="dxa"/>
            <w:vAlign w:val="bottom"/>
            <w:gridSpan w:val="3"/>
          </w:tcPr>
          <w:p>
            <w:pPr>
              <w:spacing w:after="0" w:line="138" w:lineRule="exact"/>
              <w:rPr>
                <w:sz w:val="20"/>
                <w:szCs w:val="20"/>
                <w:color w:val="auto"/>
              </w:rPr>
            </w:pPr>
            <w:r>
              <w:rPr>
                <w:rFonts w:ascii="Times New Roman" w:cs="Times New Roman" w:eastAsia="Times New Roman" w:hAnsi="Times New Roman"/>
                <w:sz w:val="14"/>
                <w:szCs w:val="14"/>
                <w:color w:val="auto"/>
              </w:rPr>
              <w:t>Trademarks, trade names and patents, net of accumulated amortization</w:t>
            </w:r>
          </w:p>
        </w:tc>
        <w:tc>
          <w:tcPr>
            <w:tcW w:w="2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6,630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 $653 and $625 at January 31, 2025 and July 31, 2024, respectively</w:t>
            </w: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0" w:type="dxa"/>
            <w:vAlign w:val="bottom"/>
          </w:tcPr>
          <w:p>
            <w:pPr>
              <w:spacing w:after="0"/>
              <w:rPr>
                <w:sz w:val="1"/>
                <w:szCs w:val="1"/>
                <w:color w:val="auto"/>
              </w:rPr>
            </w:pPr>
          </w:p>
        </w:tc>
      </w:tr>
      <w:tr>
        <w:trPr>
          <w:trHeight w:val="138"/>
        </w:trPr>
        <w:tc>
          <w:tcPr>
            <w:tcW w:w="40" w:type="dxa"/>
            <w:vAlign w:val="bottom"/>
            <w:tcBorders>
              <w:right w:val="single" w:sz="8" w:color="CCEEFF"/>
            </w:tcBorders>
          </w:tcPr>
          <w:p>
            <w:pPr>
              <w:spacing w:after="0"/>
              <w:rPr>
                <w:sz w:val="12"/>
                <w:szCs w:val="12"/>
                <w:color w:val="auto"/>
              </w:rPr>
            </w:pPr>
          </w:p>
        </w:tc>
        <w:tc>
          <w:tcPr>
            <w:tcW w:w="836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Customer list, net of accumulated amortization</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19,471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CCEEFF"/>
            </w:tcBorders>
          </w:tcPr>
          <w:p>
            <w:pPr>
              <w:spacing w:after="0"/>
              <w:rPr>
                <w:sz w:val="16"/>
                <w:szCs w:val="16"/>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 $8,713 and $8,149 at January 31, 2025 and July 31, 2024, respectively</w:t>
            </w:r>
          </w:p>
        </w:tc>
        <w:tc>
          <w:tcPr>
            <w:tcW w:w="2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18,667</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83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Total Other Assets</w:t>
            </w: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204,731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207,447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Borders>
              <w:right w:val="single" w:sz="8" w:color="CCEEFF"/>
            </w:tcBorders>
          </w:tcPr>
          <w:p>
            <w:pPr>
              <w:spacing w:after="0"/>
              <w:rPr>
                <w:sz w:val="17"/>
                <w:szCs w:val="17"/>
                <w:color w:val="auto"/>
              </w:rPr>
            </w:pPr>
          </w:p>
        </w:tc>
        <w:tc>
          <w:tcPr>
            <w:tcW w:w="8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353,747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for share and per share amounts,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18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13"/>
                <w:szCs w:val="13"/>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Current Liabilities</w:t>
            </w:r>
          </w:p>
        </w:tc>
        <w:tc>
          <w:tcPr>
            <w:tcW w:w="72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maturities of notes payable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14,004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payable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4,357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30,732</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340" w:type="dxa"/>
            <w:vAlign w:val="bottom"/>
            <w:tcBorders>
              <w:bottom w:val="single" w:sz="8" w:color="CCEEFF"/>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52,190</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66,677</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834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Long-term debt, net of unamortized debt issuance costs</w:t>
            </w: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39,796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8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 $204 and $226 at January 31, 2025 and July 31, 2024, respectively</w:t>
            </w: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5,956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13,261</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6,684</w:t>
            </w: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3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65,697</w:t>
            </w:r>
          </w:p>
        </w:tc>
        <w:tc>
          <w:tcPr>
            <w:tcW w:w="2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117,887</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144,017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00" w:top="728"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7)</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8195"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80" w:right="2680" w:hanging="70"/>
        <w:spacing w:after="0" w:line="237" w:lineRule="auto"/>
        <w:rPr>
          <w:sz w:val="20"/>
          <w:szCs w:val="20"/>
          <w:color w:val="auto"/>
        </w:rPr>
      </w:pPr>
      <w:r>
        <w:rPr>
          <w:rFonts w:ascii="Times New Roman" w:cs="Times New Roman" w:eastAsia="Times New Roman" w:hAnsi="Times New Roman"/>
          <w:sz w:val="14"/>
          <w:szCs w:val="14"/>
          <w:color w:val="auto"/>
        </w:rPr>
        <w:t>Common Stock, par value $.10 per share, issued 15,215,961 shares at January 31, 2025 and 15,172,186 shares at July 31, 2024</w:t>
      </w:r>
    </w:p>
    <w:p>
      <w:pPr>
        <w:spacing w:after="0" w:line="7" w:lineRule="exact"/>
        <w:rPr>
          <w:sz w:val="20"/>
          <w:szCs w:val="20"/>
          <w:color w:val="auto"/>
        </w:rPr>
      </w:pPr>
    </w:p>
    <w:p>
      <w:pPr>
        <w:ind w:left="80" w:right="2840" w:hanging="70"/>
        <w:spacing w:after="0" w:line="239" w:lineRule="auto"/>
        <w:rPr>
          <w:sz w:val="20"/>
          <w:szCs w:val="20"/>
          <w:color w:val="auto"/>
        </w:rPr>
      </w:pPr>
      <w:r>
        <w:rPr>
          <w:rFonts w:ascii="Times New Roman" w:cs="Times New Roman" w:eastAsia="Times New Roman" w:hAnsi="Times New Roman"/>
          <w:sz w:val="14"/>
          <w:szCs w:val="14"/>
          <w:color w:val="auto"/>
        </w:rPr>
        <w:t>Class B Stock, par value $.10 per share, issued 4,650,484 shares at January 31, 2025 and 4,652,984 shares at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48195" cy="208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819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p>
      <w:pPr>
        <w:spacing w:after="0" w:line="19" w:lineRule="exact"/>
        <w:rPr>
          <w:sz w:val="20"/>
          <w:szCs w:val="20"/>
          <w:color w:val="auto"/>
        </w:rPr>
      </w:pPr>
    </w:p>
    <w:p>
      <w:pPr>
        <w:ind w:left="20" w:right="2660"/>
        <w:spacing w:after="0" w:line="237" w:lineRule="auto"/>
        <w:rPr>
          <w:sz w:val="20"/>
          <w:szCs w:val="20"/>
          <w:color w:val="auto"/>
        </w:rPr>
      </w:pPr>
      <w:r>
        <w:rPr>
          <w:rFonts w:ascii="Times New Roman" w:cs="Times New Roman" w:eastAsia="Times New Roman" w:hAnsi="Times New Roman"/>
          <w:sz w:val="14"/>
          <w:szCs w:val="14"/>
          <w:color w:val="auto"/>
        </w:rPr>
        <w:t>Less Treasury Stock, at cost (4,895,344 Common and 380,628 Class B shares at January 31, 2025 and 4,867,880 Common and 362,649 Class B shares at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48195" cy="208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48195"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1,522</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323"/>
        </w:trPr>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80"/>
        </w:trPr>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63,195</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60,031</w:t>
            </w:r>
          </w:p>
        </w:tc>
      </w:tr>
      <w:tr>
        <w:trPr>
          <w:trHeight w:val="180"/>
        </w:trPr>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257,349</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232,247</w:t>
            </w:r>
          </w:p>
        </w:tc>
      </w:tr>
      <w:tr>
        <w:trPr>
          <w:trHeight w:val="186"/>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329"/>
        </w:trPr>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(87,232)</w:t>
            </w: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(84,441)</w:t>
            </w:r>
          </w:p>
        </w:tc>
      </w:tr>
      <w:tr>
        <w:trPr>
          <w:trHeight w:val="171"/>
        </w:trPr>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235,860</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210,588</w:t>
            </w:r>
          </w:p>
        </w:tc>
      </w:tr>
      <w:tr>
        <w:trPr>
          <w:trHeight w:val="362"/>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353,747</w:t>
            </w:r>
          </w:p>
        </w:tc>
        <w:tc>
          <w:tcPr>
            <w:tcW w:w="260" w:type="dxa"/>
            <w:vAlign w:val="bottom"/>
          </w:tcPr>
          <w:p>
            <w:pPr>
              <w:spacing w:after="0"/>
              <w:rPr>
                <w:sz w:val="24"/>
                <w:szCs w:val="2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354,605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900"/>
          </w:cols>
          <w:pgMar w:left="300" w:top="728"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type w:val="continuous"/>
        </w:sectPr>
      </w:pPr>
    </w:p>
    <w:bookmarkStart w:id="4" w:name="page5"/>
    <w:bookmarkEnd w:id="4"/>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(in thousands, except for share and per share amounts, unaudited)</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r>
      <w:tr>
        <w:trPr>
          <w:trHeight w:val="171"/>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97"/>
        </w:trPr>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244,859</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217,106</w:t>
            </w:r>
          </w:p>
        </w:tc>
      </w:tr>
      <w:tr>
        <w:trPr>
          <w:trHeight w:val="18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(169,631)</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(155,173)</w:t>
            </w: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75,228</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61,933</w:t>
            </w:r>
          </w:p>
        </w:tc>
      </w:tr>
      <w:tr>
        <w:trPr>
          <w:trHeight w:val="18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(36,556)</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(33,612)</w:t>
            </w: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38,672</w:t>
            </w:r>
          </w:p>
        </w:tc>
        <w:tc>
          <w:tcPr>
            <w:tcW w:w="2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28,321</w:t>
            </w:r>
          </w:p>
        </w:tc>
      </w:tr>
      <w:tr>
        <w:trPr>
          <w:trHeight w:val="97"/>
        </w:trPr>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80"/>
        </w:trPr>
        <w:tc>
          <w:tcPr>
            <w:tcW w:w="5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(1,106)</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171"/>
        </w:trPr>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(2,210)</w:t>
            </w:r>
          </w:p>
        </w:tc>
        <w:tc>
          <w:tcPr>
            <w:tcW w:w="2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r>
      <w:tr>
        <w:trPr>
          <w:trHeight w:val="182"/>
        </w:trPr>
        <w:tc>
          <w:tcPr>
            <w:tcW w:w="5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36,462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27,512</w:t>
            </w:r>
          </w:p>
        </w:tc>
      </w:tr>
      <w:tr>
        <w:trPr>
          <w:trHeight w:val="18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(7,165)</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29,297</w:t>
            </w:r>
          </w:p>
        </w:tc>
        <w:tc>
          <w:tcPr>
            <w:tcW w:w="2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23,124</w:t>
            </w:r>
          </w:p>
        </w:tc>
      </w:tr>
      <w:tr>
        <w:trPr>
          <w:trHeight w:val="97"/>
        </w:trPr>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 Common</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2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 Class B</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 Common</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w:t>
            </w:r>
          </w:p>
        </w:tc>
        <w:tc>
          <w:tcPr>
            <w:tcW w:w="2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 Class B</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 Shares Outstanding</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 Common</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9,870</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9,712</w:t>
            </w: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 Class B</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 Common</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13,856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 Class B</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0.310</w:t>
            </w:r>
          </w:p>
        </w:tc>
        <w:tc>
          <w:tcPr>
            <w:tcW w:w="2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0.290</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Stock</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0.233</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0.218</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39"/>
          </w:cols>
          <w:pgMar w:left="820" w:top="728" w:right="1440" w:bottom="1440" w:gutter="0" w:footer="0" w:header="0"/>
        </w:sectPr>
      </w:pPr>
    </w:p>
    <w:bookmarkStart w:id="5" w:name="page6"/>
    <w:bookmarkEnd w:id="5"/>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(in thousands, unaudited)</w:t>
      </w:r>
    </w:p>
    <w:p>
      <w:pPr>
        <w:spacing w:after="0" w:line="290"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r>
      <w:tr>
        <w:trPr>
          <w:trHeight w:val="171"/>
        </w:trPr>
        <w:tc>
          <w:tcPr>
            <w:tcW w:w="57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2"/>
        </w:trPr>
        <w:tc>
          <w:tcPr>
            <w:tcW w:w="5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29,297</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23,124</w:t>
            </w:r>
          </w:p>
        </w:tc>
      </w:tr>
      <w:tr>
        <w:trPr>
          <w:trHeight w:val="202"/>
        </w:trPr>
        <w:tc>
          <w:tcPr>
            <w:tcW w:w="5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Postretirement expenses (net of tax)</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29,089</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39"/>
          </w:cols>
          <w:pgMar w:left="820" w:top="728" w:right="1440" w:bottom="1440" w:gutter="0" w:footer="0" w:header="0"/>
        </w:sectPr>
      </w:pPr>
    </w:p>
    <w:bookmarkStart w:id="6" w:name="page7"/>
    <w:bookmarkEnd w:id="6"/>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(in thousands, except for share amounts, unaudited)</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r>
      <w:tr>
        <w:trPr>
          <w:trHeight w:val="171"/>
        </w:trPr>
        <w:tc>
          <w:tcPr>
            <w:tcW w:w="57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97"/>
        </w:trPr>
        <w:tc>
          <w:tcPr>
            <w:tcW w:w="5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116,914</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105,668</w:t>
            </w:r>
          </w:p>
        </w:tc>
      </w:tr>
      <w:tr>
        <w:trPr>
          <w:trHeight w:val="18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(82,466)</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(74,726)</w:t>
            </w: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34,448</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30,942</w:t>
            </w:r>
          </w:p>
        </w:tc>
      </w:tr>
      <w:tr>
        <w:trPr>
          <w:trHeight w:val="18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(16,966)</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(15,777)</w:t>
            </w: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8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17,482</w:t>
            </w:r>
          </w:p>
        </w:tc>
        <w:tc>
          <w:tcPr>
            <w:tcW w:w="2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15,165</w:t>
            </w:r>
          </w:p>
        </w:tc>
      </w:tr>
      <w:tr>
        <w:trPr>
          <w:trHeight w:val="97"/>
        </w:trPr>
        <w:tc>
          <w:tcPr>
            <w:tcW w:w="5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5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(702)</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71"/>
        </w:trPr>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8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(1,222)</w:t>
            </w:r>
          </w:p>
        </w:tc>
        <w:tc>
          <w:tcPr>
            <w:tcW w:w="2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97"/>
        </w:trPr>
        <w:tc>
          <w:tcPr>
            <w:tcW w:w="5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16,260</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14,682</w:t>
            </w:r>
          </w:p>
        </w:tc>
      </w:tr>
      <w:tr>
        <w:trPr>
          <w:trHeight w:val="18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(3,339)</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12,921</w:t>
            </w:r>
          </w:p>
        </w:tc>
        <w:tc>
          <w:tcPr>
            <w:tcW w:w="2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12,382</w:t>
            </w:r>
          </w:p>
        </w:tc>
      </w:tr>
      <w:tr>
        <w:trPr>
          <w:trHeight w:val="97"/>
        </w:trPr>
        <w:tc>
          <w:tcPr>
            <w:tcW w:w="5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Basic Common</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0.95</w:t>
            </w:r>
          </w:p>
        </w:tc>
        <w:tc>
          <w:tcPr>
            <w:tcW w:w="2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Basic Class B</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0.72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Diluted Common</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0.89</w:t>
            </w:r>
          </w:p>
        </w:tc>
        <w:tc>
          <w:tcPr>
            <w:tcW w:w="2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Diluted Class B</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0.72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r>
      <w:tr>
        <w:trPr>
          <w:trHeight w:val="180"/>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 Shares Outstanding</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Basic Common</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9,895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w:t>
            </w: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Basic Class B</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4,004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Diluted Common</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13,899</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13,721</w:t>
            </w: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Diluted Class B</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4,004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Basic Common</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0.1550</w:t>
            </w:r>
          </w:p>
        </w:tc>
        <w:tc>
          <w:tcPr>
            <w:tcW w:w="2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0.1450</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Basic Class B</w:t>
            </w: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0.1165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0.1090</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39"/>
          </w:cols>
          <w:pgMar w:left="820" w:top="728" w:right="1440" w:bottom="1440" w:gutter="0" w:footer="0" w:header="0"/>
        </w:sectPr>
      </w:pPr>
    </w:p>
    <w:bookmarkStart w:id="7" w:name="page8"/>
    <w:bookmarkEnd w:id="7"/>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(in thousands, unaudited)</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r>
      <w:tr>
        <w:trPr>
          <w:trHeight w:val="171"/>
        </w:trPr>
        <w:tc>
          <w:tcPr>
            <w:tcW w:w="57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Oil-Dri</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12,921</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12,382</w:t>
            </w:r>
          </w:p>
        </w:tc>
      </w:tr>
      <w:tr>
        <w:trPr>
          <w:trHeight w:val="212"/>
        </w:trPr>
        <w:tc>
          <w:tcPr>
            <w:tcW w:w="5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5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Postretirement expenses (net of tax)</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71"/>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12,755</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39"/>
          </w:cols>
          <w:pgMar w:left="820" w:top="728" w:right="1440" w:bottom="1440" w:gutter="0" w:footer="0" w:header="0"/>
        </w:sectPr>
      </w:pPr>
    </w:p>
    <w:bookmarkStart w:id="8" w:name="page9"/>
    <w:bookmarkEnd w:id="8"/>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(in thousands, except for share amounts, unaudited)</w:t>
      </w:r>
    </w:p>
    <w:p>
      <w:pPr>
        <w:spacing w:after="0" w:line="103" w:lineRule="exact"/>
        <w:rPr>
          <w:sz w:val="20"/>
          <w:szCs w:val="20"/>
          <w:color w:val="auto"/>
        </w:rPr>
      </w:pPr>
    </w:p>
    <w:tbl>
      <w:tblPr>
        <w:tblLayout w:type="fixed"/>
        <w:tblInd w:w="560" w:type="dxa"/>
        <w:tblCellMar>
          <w:top w:w="0" w:type="dxa"/>
          <w:left w:w="0" w:type="dxa"/>
          <w:bottom w:w="0" w:type="dxa"/>
          <w:right w:w="0" w:type="dxa"/>
        </w:tblCellMar>
      </w:tblPr>
      <w:tr>
        <w:trPr>
          <w:trHeight w:val="132"/>
        </w:trPr>
        <w:tc>
          <w:tcPr>
            <w:tcW w:w="21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5"/>
              </w:rPr>
              <w:t>For the Three Months Ended January 31</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960" w:type="dxa"/>
            <w:vAlign w:val="bottom"/>
            <w:gridSpan w:val="4"/>
          </w:tcPr>
          <w:p>
            <w:pPr>
              <w:ind w:left="56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20" w:type="dxa"/>
            <w:vAlign w:val="bottom"/>
          </w:tcPr>
          <w:p>
            <w:pPr>
              <w:spacing w:after="0"/>
              <w:rPr>
                <w:sz w:val="7"/>
                <w:szCs w:val="7"/>
                <w:color w:val="auto"/>
              </w:rPr>
            </w:pPr>
          </w:p>
        </w:tc>
        <w:tc>
          <w:tcPr>
            <w:tcW w:w="10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80" w:type="dxa"/>
            <w:vAlign w:val="bottom"/>
          </w:tcPr>
          <w:p>
            <w:pPr>
              <w:spacing w:after="0"/>
              <w:rPr>
                <w:sz w:val="7"/>
                <w:szCs w:val="7"/>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tcPr>
          <w:p>
            <w:pPr>
              <w:jc w:val="center"/>
              <w:ind w:right="200"/>
              <w:spacing w:after="0" w:line="8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7"/>
                <w:szCs w:val="7"/>
                <w:color w:val="auto"/>
              </w:rPr>
            </w:pPr>
          </w:p>
        </w:tc>
        <w:tc>
          <w:tcPr>
            <w:tcW w:w="90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Retained</w:t>
            </w:r>
          </w:p>
        </w:tc>
        <w:tc>
          <w:tcPr>
            <w:tcW w:w="80" w:type="dxa"/>
            <w:vAlign w:val="bottom"/>
          </w:tcPr>
          <w:p>
            <w:pPr>
              <w:spacing w:after="0"/>
              <w:rPr>
                <w:sz w:val="8"/>
                <w:szCs w:val="8"/>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Treasury</w:t>
            </w: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102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w w:val="93"/>
              </w:rPr>
              <w:t>&amp; Class B</w:t>
            </w: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3"/>
              </w:rPr>
              <w:t>&amp; Class B</w:t>
            </w:r>
          </w:p>
        </w:tc>
        <w:tc>
          <w:tcPr>
            <w:tcW w:w="80" w:type="dxa"/>
            <w:vAlign w:val="bottom"/>
          </w:tcPr>
          <w:p>
            <w:pPr>
              <w:spacing w:after="0"/>
              <w:rPr>
                <w:sz w:val="8"/>
                <w:szCs w:val="8"/>
                <w:color w:val="auto"/>
              </w:rPr>
            </w:pPr>
          </w:p>
        </w:tc>
        <w:tc>
          <w:tcPr>
            <w:tcW w:w="100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2"/>
              </w:rPr>
              <w:t>Paid-In</w:t>
            </w: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40" w:type="dxa"/>
            <w:vAlign w:val="bottom"/>
          </w:tcPr>
          <w:p>
            <w:pPr>
              <w:spacing w:after="0"/>
              <w:rPr>
                <w:sz w:val="8"/>
                <w:szCs w:val="8"/>
                <w:color w:val="auto"/>
              </w:rPr>
            </w:pPr>
          </w:p>
        </w:tc>
        <w:tc>
          <w:tcPr>
            <w:tcW w:w="900" w:type="dxa"/>
            <w:vAlign w:val="bottom"/>
          </w:tcPr>
          <w:p>
            <w:pPr>
              <w:jc w:val="center"/>
              <w:ind w:right="92"/>
              <w:spacing w:after="0" w:line="96" w:lineRule="exact"/>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132"/>
        </w:trPr>
        <w:tc>
          <w:tcPr>
            <w:tcW w:w="212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4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8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100" w:type="dxa"/>
            <w:vAlign w:val="bottom"/>
          </w:tcPr>
          <w:p>
            <w:pPr>
              <w:spacing w:after="0"/>
              <w:rPr>
                <w:sz w:val="11"/>
                <w:szCs w:val="11"/>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140" w:type="dxa"/>
            <w:vAlign w:val="bottom"/>
          </w:tcPr>
          <w:p>
            <w:pPr>
              <w:spacing w:after="0"/>
              <w:rPr>
                <w:sz w:val="11"/>
                <w:szCs w:val="11"/>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89"/>
              </w:rPr>
              <w:t>Equity</w:t>
            </w:r>
          </w:p>
        </w:tc>
        <w:tc>
          <w:tcPr>
            <w:tcW w:w="0" w:type="dxa"/>
            <w:vAlign w:val="bottom"/>
          </w:tcPr>
          <w:p>
            <w:pPr>
              <w:spacing w:after="0"/>
              <w:rPr>
                <w:sz w:val="1"/>
                <w:szCs w:val="1"/>
                <w:color w:val="auto"/>
              </w:rPr>
            </w:pPr>
          </w:p>
        </w:tc>
      </w:tr>
      <w:tr>
        <w:trPr>
          <w:trHeight w:val="135"/>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October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19,792,720</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(5,192,154)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1,979</w:t>
            </w: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55,900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209,585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(82,111)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563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185,916</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12,382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12,382</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Dividends Declared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(1,972)</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(1,703)</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w w:val="97"/>
              </w:rPr>
              <w:t>Net issuance of stock under long-term incentive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Amortization of Restricted Stock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1,246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1,246</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January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19,805,720</w:t>
            </w:r>
          </w:p>
        </w:tc>
        <w:tc>
          <w:tcPr>
            <w:tcW w:w="10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(5,222,425)</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1,980</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57,359</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219,995</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(84,029)</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733</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196,038</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October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19,865,970</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(5,270,270)</w:t>
            </w:r>
          </w:p>
        </w:tc>
        <w:tc>
          <w:tcPr>
            <w:tcW w:w="10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1,986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61,755</w:t>
            </w:r>
          </w:p>
        </w:tc>
        <w:tc>
          <w:tcPr>
            <w:tcW w:w="14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246,525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(87,001)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727</w:t>
            </w:r>
          </w:p>
        </w:tc>
        <w:tc>
          <w:tcPr>
            <w:tcW w:w="10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223,992</w:t>
            </w: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12,921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12,921</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(2,097)</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97"/>
              </w:rPr>
              <w:t>Net issuance of stock under long-term incentive plans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Amortization of Restricted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1,390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1,390</w:t>
            </w:r>
          </w:p>
        </w:tc>
        <w:tc>
          <w:tcPr>
            <w:tcW w:w="0" w:type="dxa"/>
            <w:vAlign w:val="bottom"/>
          </w:tcPr>
          <w:p>
            <w:pPr>
              <w:spacing w:after="0"/>
              <w:rPr>
                <w:sz w:val="1"/>
                <w:szCs w:val="1"/>
                <w:color w:val="auto"/>
              </w:rPr>
            </w:pPr>
          </w:p>
        </w:tc>
      </w:tr>
      <w:tr>
        <w:trPr>
          <w:trHeight w:val="161"/>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January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19,866,445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(5,275,972)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63,195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257,349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(87,232)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561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235,860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5"/>
              </w:rPr>
              <w:t>For the Six Months Ended January 31</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86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0"/>
                <w:szCs w:val="10"/>
                <w:color w:val="auto"/>
              </w:rPr>
              <w:t>Number of 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120" w:type="dxa"/>
            <w:vAlign w:val="bottom"/>
          </w:tcPr>
          <w:p>
            <w:pPr>
              <w:spacing w:after="0"/>
              <w:rPr>
                <w:sz w:val="8"/>
                <w:szCs w:val="8"/>
                <w:color w:val="auto"/>
              </w:rPr>
            </w:pPr>
          </w:p>
        </w:tc>
        <w:tc>
          <w:tcPr>
            <w:tcW w:w="1020" w:type="dxa"/>
            <w:vAlign w:val="bottom"/>
            <w:gridSpan w:val="2"/>
          </w:tcPr>
          <w:p>
            <w:pPr>
              <w:jc w:val="center"/>
              <w:ind w:right="120"/>
              <w:spacing w:after="0" w:line="96" w:lineRule="exact"/>
              <w:rPr>
                <w:sz w:val="20"/>
                <w:szCs w:val="20"/>
                <w:color w:val="auto"/>
              </w:rPr>
            </w:pPr>
            <w:r>
              <w:rPr>
                <w:rFonts w:ascii="Times New Roman" w:cs="Times New Roman" w:eastAsia="Times New Roman" w:hAnsi="Times New Roman"/>
                <w:sz w:val="10"/>
                <w:szCs w:val="10"/>
                <w:color w:val="auto"/>
                <w:w w:val="96"/>
              </w:rPr>
              <w:t>Common &amp; Class B</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color w:val="auto"/>
                <w:w w:val="95"/>
              </w:rPr>
              <w:t>Treasury Stock</w:t>
            </w:r>
          </w:p>
        </w:tc>
        <w:tc>
          <w:tcPr>
            <w:tcW w:w="920" w:type="dxa"/>
            <w:vAlign w:val="bottom"/>
            <w:gridSpan w:val="3"/>
          </w:tcPr>
          <w:p>
            <w:pPr>
              <w:jc w:val="center"/>
              <w:ind w:right="100"/>
              <w:spacing w:after="0" w:line="96" w:lineRule="exact"/>
              <w:rPr>
                <w:sz w:val="20"/>
                <w:szCs w:val="20"/>
                <w:color w:val="auto"/>
              </w:rPr>
            </w:pPr>
            <w:r>
              <w:rPr>
                <w:rFonts w:ascii="Times New Roman" w:cs="Times New Roman" w:eastAsia="Times New Roman" w:hAnsi="Times New Roman"/>
                <w:sz w:val="10"/>
                <w:szCs w:val="10"/>
                <w:color w:val="auto"/>
                <w:w w:val="96"/>
              </w:rPr>
              <w:t>Common &amp; Class B</w:t>
            </w:r>
          </w:p>
        </w:tc>
        <w:tc>
          <w:tcPr>
            <w:tcW w:w="80" w:type="dxa"/>
            <w:vAlign w:val="bottom"/>
          </w:tcPr>
          <w:p>
            <w:pPr>
              <w:spacing w:after="0"/>
              <w:rPr>
                <w:sz w:val="8"/>
                <w:szCs w:val="8"/>
                <w:color w:val="auto"/>
              </w:rPr>
            </w:pPr>
          </w:p>
        </w:tc>
        <w:tc>
          <w:tcPr>
            <w:tcW w:w="100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color w:val="auto"/>
                <w:w w:val="96"/>
              </w:rPr>
              <w:t>Additional Paid-In</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5"/>
              </w:rPr>
              <w:t>Retained Earnings</w:t>
            </w:r>
          </w:p>
        </w:tc>
        <w:tc>
          <w:tcPr>
            <w:tcW w:w="80" w:type="dxa"/>
            <w:vAlign w:val="bottom"/>
          </w:tcPr>
          <w:p>
            <w:pPr>
              <w:spacing w:after="0"/>
              <w:rPr>
                <w:sz w:val="8"/>
                <w:szCs w:val="8"/>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color w:val="auto"/>
                <w:w w:val="95"/>
              </w:rPr>
              <w:t>Treasury Stock</w:t>
            </w:r>
          </w:p>
        </w:tc>
        <w:tc>
          <w:tcPr>
            <w:tcW w:w="100" w:type="dxa"/>
            <w:vAlign w:val="bottom"/>
          </w:tcPr>
          <w:p>
            <w:pPr>
              <w:spacing w:after="0"/>
              <w:rPr>
                <w:sz w:val="8"/>
                <w:szCs w:val="8"/>
                <w:color w:val="auto"/>
              </w:rPr>
            </w:pPr>
          </w:p>
        </w:tc>
        <w:tc>
          <w:tcPr>
            <w:tcW w:w="11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color w:val="auto"/>
                <w:w w:val="94"/>
              </w:rPr>
              <w:t>Accumulated Other</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w w:val="95"/>
              </w:rPr>
              <w:t>Total Stockholders' Equity</w:t>
            </w: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6"/>
              </w:rPr>
              <w:t>Stock</w:t>
            </w: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color w:val="auto"/>
                <w:w w:val="96"/>
              </w:rPr>
              <w:t>Stock</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w w:val="96"/>
              </w:rPr>
              <w:t>Capital</w:t>
            </w: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4"/>
              </w:rPr>
              <w:t>Comprehensive Income</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July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19,610,720</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(5,176,325)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1,961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54,778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200,796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(81,207)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748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177,076</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23,124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23,124</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Dividends Declared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(3,925)</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(2,575)</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w w:val="97"/>
              </w:rPr>
              <w:t>Net issuance of stock under long-term incentive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195,000</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Amortization of Restricted Stock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2,354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2,354</w:t>
            </w:r>
          </w:p>
        </w:tc>
        <w:tc>
          <w:tcPr>
            <w:tcW w:w="0" w:type="dxa"/>
            <w:vAlign w:val="bottom"/>
          </w:tcPr>
          <w:p>
            <w:pPr>
              <w:spacing w:after="0"/>
              <w:rPr>
                <w:sz w:val="1"/>
                <w:szCs w:val="1"/>
                <w:color w:val="auto"/>
              </w:rPr>
            </w:pPr>
          </w:p>
        </w:tc>
      </w:tr>
      <w:tr>
        <w:trPr>
          <w:trHeight w:val="136"/>
        </w:trPr>
        <w:tc>
          <w:tcPr>
            <w:tcW w:w="2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January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19,805,720</w:t>
            </w:r>
          </w:p>
        </w:tc>
        <w:tc>
          <w:tcPr>
            <w:tcW w:w="10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(5,222,425)</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1,980</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57,359</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219,995</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(84,029)</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733</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196,038</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July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19,825,170</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(5,230,529)</w:t>
            </w:r>
          </w:p>
        </w:tc>
        <w:tc>
          <w:tcPr>
            <w:tcW w:w="10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1,982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60,031</w:t>
            </w:r>
          </w:p>
        </w:tc>
        <w:tc>
          <w:tcPr>
            <w:tcW w:w="14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232,247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(84,441)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769</w:t>
            </w:r>
          </w:p>
        </w:tc>
        <w:tc>
          <w:tcPr>
            <w:tcW w:w="10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210,588</w:t>
            </w: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29,297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29,297</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Declared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(4,195)</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(2,164)</w:t>
            </w:r>
          </w:p>
        </w:tc>
        <w:tc>
          <w:tcPr>
            <w:tcW w:w="0" w:type="dxa"/>
            <w:vAlign w:val="bottom"/>
          </w:tcPr>
          <w:p>
            <w:pPr>
              <w:spacing w:after="0"/>
              <w:rPr>
                <w:sz w:val="1"/>
                <w:szCs w:val="1"/>
                <w:color w:val="auto"/>
              </w:rPr>
            </w:pPr>
          </w:p>
        </w:tc>
      </w:tr>
      <w:tr>
        <w:trPr>
          <w:trHeight w:val="14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97"/>
              </w:rPr>
              <w:t>Net issuance of stock under long-term incentive plans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41,275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Amortization of Restricted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2,542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2,542</w:t>
            </w:r>
          </w:p>
        </w:tc>
        <w:tc>
          <w:tcPr>
            <w:tcW w:w="0" w:type="dxa"/>
            <w:vAlign w:val="bottom"/>
          </w:tcPr>
          <w:p>
            <w:pPr>
              <w:spacing w:after="0"/>
              <w:rPr>
                <w:sz w:val="1"/>
                <w:szCs w:val="1"/>
                <w:color w:val="auto"/>
              </w:rPr>
            </w:pPr>
          </w:p>
        </w:tc>
      </w:tr>
      <w:tr>
        <w:trPr>
          <w:trHeight w:val="161"/>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January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19,866,445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(5,275,972)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63,195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257,349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(87,232)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561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235,860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728" w:right="859" w:bottom="1440" w:gutter="0" w:footer="0" w:header="0"/>
        </w:sectPr>
      </w:pPr>
    </w:p>
    <w:bookmarkStart w:id="9" w:name="page10"/>
    <w:bookmarkEnd w:id="9"/>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(in thousands, unaudited)</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r>
      <w:tr>
        <w:trPr>
          <w:trHeight w:val="155"/>
        </w:trPr>
        <w:tc>
          <w:tcPr>
            <w:tcW w:w="20" w:type="dxa"/>
            <w:vAlign w:val="bottom"/>
          </w:tcPr>
          <w:p>
            <w:pPr>
              <w:spacing w:after="0"/>
              <w:rPr>
                <w:sz w:val="13"/>
                <w:szCs w:val="13"/>
                <w:color w:val="auto"/>
              </w:rPr>
            </w:pPr>
          </w:p>
        </w:tc>
        <w:tc>
          <w:tcPr>
            <w:tcW w:w="72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tcPr>
          <w:p>
            <w:pPr>
              <w:spacing w:after="0"/>
              <w:rPr>
                <w:sz w:val="13"/>
                <w:szCs w:val="13"/>
                <w:color w:val="auto"/>
              </w:rPr>
            </w:pPr>
          </w:p>
        </w:tc>
        <w:tc>
          <w:tcPr>
            <w:tcW w:w="114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29,297</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23,124</w:t>
            </w:r>
          </w:p>
        </w:tc>
      </w:tr>
      <w:tr>
        <w:trPr>
          <w:trHeight w:val="180"/>
        </w:trPr>
        <w:tc>
          <w:tcPr>
            <w:tcW w:w="20" w:type="dxa"/>
            <w:vAlign w:val="bottom"/>
          </w:tcPr>
          <w:p>
            <w:pPr>
              <w:spacing w:after="0"/>
              <w:rPr>
                <w:sz w:val="15"/>
                <w:szCs w:val="15"/>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10,817</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bad debts and cash discounts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Loss on impairment of patent applications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of asset retirement obligation</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Loss on the disposals of property, plant and equipment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decrease in assets: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2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(decrease) in liabilities: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2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(8,371)</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(7,582)</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Deferred compensation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(2,292)</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71"/>
        </w:trPr>
        <w:tc>
          <w:tcPr>
            <w:tcW w:w="20" w:type="dxa"/>
            <w:vAlign w:val="bottom"/>
            <w:tcBorders>
              <w:bottom w:val="single" w:sz="8" w:color="CCEEFF"/>
            </w:tcBorders>
          </w:tcPr>
          <w:p>
            <w:pPr>
              <w:spacing w:after="0"/>
              <w:rPr>
                <w:sz w:val="14"/>
                <w:szCs w:val="14"/>
                <w:color w:val="auto"/>
              </w:rPr>
            </w:pPr>
          </w:p>
        </w:tc>
        <w:tc>
          <w:tcPr>
            <w:tcW w:w="7200" w:type="dxa"/>
            <w:vAlign w:val="bottom"/>
            <w:tcBorders>
              <w:bottom w:val="single" w:sz="8" w:color="CCEEFF"/>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3,033</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w:t>
            </w:r>
          </w:p>
        </w:tc>
      </w:tr>
      <w:tr>
        <w:trPr>
          <w:trHeight w:val="171"/>
        </w:trPr>
        <w:tc>
          <w:tcPr>
            <w:tcW w:w="20" w:type="dxa"/>
            <w:vAlign w:val="bottom"/>
            <w:shd w:val="clear" w:color="auto" w:fill="CCEEFF"/>
          </w:tcPr>
          <w:p>
            <w:pPr>
              <w:spacing w:after="0"/>
              <w:rPr>
                <w:sz w:val="14"/>
                <w:szCs w:val="14"/>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32,330</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17,945</w:t>
            </w:r>
          </w:p>
        </w:tc>
      </w:tr>
      <w:tr>
        <w:trPr>
          <w:trHeight w:val="182"/>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100" w:type="dxa"/>
            <w:vAlign w:val="bottom"/>
            <w:tcBorders>
              <w:bottom w:val="single" w:sz="8" w:color="CCEEFF"/>
            </w:tcBorders>
            <w:gridSpan w:val="3"/>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(17,806)</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(15,546)</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a business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bottom w:val="single" w:sz="8" w:color="CCEEFF"/>
            </w:tcBorders>
          </w:tcPr>
          <w:p>
            <w:pPr>
              <w:spacing w:after="0"/>
              <w:rPr>
                <w:sz w:val="14"/>
                <w:szCs w:val="14"/>
                <w:color w:val="auto"/>
              </w:rPr>
            </w:pPr>
          </w:p>
        </w:tc>
        <w:tc>
          <w:tcPr>
            <w:tcW w:w="720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(17,921)</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(15,546)</w:t>
            </w:r>
          </w:p>
        </w:tc>
      </w:tr>
      <w:tr>
        <w:trPr>
          <w:trHeight w:val="182"/>
        </w:trPr>
        <w:tc>
          <w:tcPr>
            <w:tcW w:w="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312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0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7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(4,194)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(2,164)</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171"/>
        </w:trPr>
        <w:tc>
          <w:tcPr>
            <w:tcW w:w="20" w:type="dxa"/>
            <w:vAlign w:val="bottom"/>
            <w:tcBorders>
              <w:bottom w:val="single" w:sz="8" w:color="CCEEFF"/>
            </w:tcBorders>
          </w:tcPr>
          <w:p>
            <w:pPr>
              <w:spacing w:after="0"/>
              <w:rPr>
                <w:sz w:val="14"/>
                <w:szCs w:val="14"/>
                <w:color w:val="auto"/>
              </w:rPr>
            </w:pPr>
          </w:p>
        </w:tc>
        <w:tc>
          <w:tcPr>
            <w:tcW w:w="720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(16,358)</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w:t>
            </w:r>
          </w:p>
        </w:tc>
      </w:tr>
      <w:tr>
        <w:trPr>
          <w:trHeight w:val="171"/>
        </w:trPr>
        <w:tc>
          <w:tcPr>
            <w:tcW w:w="20" w:type="dxa"/>
            <w:vAlign w:val="bottom"/>
            <w:shd w:val="clear" w:color="auto" w:fill="CCEEFF"/>
          </w:tcPr>
          <w:p>
            <w:pPr>
              <w:spacing w:after="0"/>
              <w:rPr>
                <w:sz w:val="14"/>
                <w:szCs w:val="14"/>
                <w:color w:val="auto"/>
              </w:rPr>
            </w:pPr>
          </w:p>
        </w:tc>
        <w:tc>
          <w:tcPr>
            <w:tcW w:w="7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71"/>
        </w:trPr>
        <w:tc>
          <w:tcPr>
            <w:tcW w:w="20" w:type="dxa"/>
            <w:vAlign w:val="bottom"/>
          </w:tcPr>
          <w:p>
            <w:pPr>
              <w:spacing w:after="0"/>
              <w:rPr>
                <w:sz w:val="14"/>
                <w:szCs w:val="1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w:t>
            </w:r>
          </w:p>
        </w:tc>
      </w:tr>
      <w:tr>
        <w:trPr>
          <w:trHeight w:val="180"/>
        </w:trPr>
        <w:tc>
          <w:tcPr>
            <w:tcW w:w="20" w:type="dxa"/>
            <w:vAlign w:val="bottom"/>
            <w:shd w:val="clear" w:color="auto" w:fill="CCEEFF"/>
          </w:tcPr>
          <w:p>
            <w:pPr>
              <w:spacing w:after="0"/>
              <w:rPr>
                <w:sz w:val="15"/>
                <w:szCs w:val="15"/>
                <w:color w:val="auto"/>
              </w:rPr>
            </w:pPr>
          </w:p>
        </w:tc>
        <w:tc>
          <w:tcPr>
            <w:tcW w:w="7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24,481</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31,754</w:t>
            </w:r>
          </w:p>
        </w:tc>
      </w:tr>
      <w:tr>
        <w:trPr>
          <w:trHeight w:val="171"/>
        </w:trPr>
        <w:tc>
          <w:tcPr>
            <w:tcW w:w="20" w:type="dxa"/>
            <w:vAlign w:val="bottom"/>
          </w:tcPr>
          <w:p>
            <w:pPr>
              <w:spacing w:after="0"/>
              <w:rPr>
                <w:sz w:val="14"/>
                <w:szCs w:val="1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22,589</w:t>
            </w:r>
          </w:p>
        </w:tc>
        <w:tc>
          <w:tcPr>
            <w:tcW w:w="2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27,800</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00" w:top="728" w:right="8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60" w:type="dxa"/>
            <w:vAlign w:val="bottom"/>
          </w:tcPr>
          <w:p>
            <w:pPr>
              <w:spacing w:after="0"/>
              <w:rPr>
                <w:sz w:val="15"/>
                <w:szCs w:val="15"/>
                <w:color w:val="auto"/>
              </w:rPr>
            </w:pPr>
          </w:p>
        </w:tc>
        <w:tc>
          <w:tcPr>
            <w:tcW w:w="2900" w:type="dxa"/>
            <w:vAlign w:val="bottom"/>
            <w:gridSpan w:val="5"/>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c>
          <w:tcPr>
            <w:tcW w:w="0" w:type="dxa"/>
            <w:vAlign w:val="bottom"/>
          </w:tcPr>
          <w:p>
            <w:pPr>
              <w:spacing w:after="0"/>
              <w:rPr>
                <w:sz w:val="1"/>
                <w:szCs w:val="1"/>
                <w:color w:val="auto"/>
              </w:rPr>
            </w:pPr>
          </w:p>
        </w:tc>
      </w:tr>
      <w:tr>
        <w:trPr>
          <w:trHeight w:val="186"/>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83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Beginning balance</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26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Converted to unrestricted cash</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Final settlement of acquisition of Ultra Pet</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c>
          <w:tcPr>
            <w:tcW w:w="26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Ending balance</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cash flows: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payments, net of amounts capitalized</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848</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payments, net of refunds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7,860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capital expenditures in accounts payable</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(2,781)</w:t>
            </w:r>
          </w:p>
        </w:tc>
        <w:tc>
          <w:tcPr>
            <w:tcW w:w="26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capital expenditures in accrued expenses</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(5,024)</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86"/>
        </w:trPr>
        <w:tc>
          <w:tcPr>
            <w:tcW w:w="8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declared and accrued</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26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OIL-DRI CORPORATION OF AMERICA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83" w:lineRule="exact"/>
        <w:rPr>
          <w:sz w:val="20"/>
          <w:szCs w:val="20"/>
          <w:color w:val="auto"/>
        </w:rPr>
      </w:pPr>
    </w:p>
    <w:p>
      <w:pPr>
        <w:ind w:right="6320" w:firstLine="5"/>
        <w:spacing w:after="0" w:line="539" w:lineRule="auto"/>
        <w:tabs>
          <w:tab w:leader="none" w:pos="141"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PRESENTATION AND SIGNIFICANT ACCOUNTING POLICIES Basis of Presentation</w:t>
      </w: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Condensed Consolidated Financial Statements include the accounts of Oil-Dri Corporation of America and its subsidiaries. All significant intercompany transactions are eliminated.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indicated herein or as the context otherwise requires, references to "Oil-Dri," the "Company," "we," "us" or "our" refer to Oil-Dri Corporation of America and its subsidiaries.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six months ended January 31, 2025 are not necessarily an indication of the results that may be expected for the fiscal year ending July 31, 2025.</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amounts in the prior period financial statements have been reclassified to conform to the presentation of the current period financial statements. These immaterial reclassifications had no effect on the previously reported net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Split</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9, 2024, we announced that our Board of Directors (our "Board") approved a two-for-one stock split in the form of a stock dividend. Stockholders of record as of the close of business on December 20, 2024 received a distribution of one additional share of Common Stock, par value $0.10 per share ("Common Stock"), for each share of Common Stock held by such stockholder and one additional share of Class B Stock, par value $0.10 per share ("Class B Stock"), for each share of Class B Stock held by such stockholder as of the record date. The additional shares were distributed on January 3, 2025, and our Common Stock began trading on a post-split basis on January 6, 2025.</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Unless noted, all Common Stock and Class B Stock share and per share amounts contained in the unaudited Condensed Consolidated Financial Statements and management's discussion and analysis have been retroactively adjusted to reflect the stock split. The impact to the Condensed Consolidated Balance Sheet and Condensed Consolidated Statements of Stockholders' Equity herein was an increase of $0.8 million to Common Stock and Class B Stock, with an offsetting decrease in Additional Paid-In-Capital, which has been retroactively adjusted for all periods presented. The change in treasury shares reflects the stock split on shares held by wholly owned subsidiaries which are presented as treasury shares on a consolidated basis.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Use of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our estimates and assumptions are revised periodically. Actual results could differ from these estimates.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Summary of Significant Accounting Policies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significant accounting policies, which are summarized in detail in our Annual Report on Form 10-K for the fiscal year ended July 31, 2024, have not materially changed. The following is a description of certain of our significant accounting policies:</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Trade Receivables. </w:t>
      </w:r>
      <w:r>
        <w:rPr>
          <w:rFonts w:ascii="Times New Roman" w:cs="Times New Roman" w:eastAsia="Times New Roman" w:hAnsi="Times New Roman"/>
          <w:sz w:val="14"/>
          <w:szCs w:val="14"/>
          <w:color w:val="auto"/>
        </w:rPr>
        <w:t>We recognize trade receivables when control of finished products is transferred to our customers. We record an allowance for credit losses based on our expectations and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Property, Plant and Equipment. </w:t>
      </w:r>
      <w:r>
        <w:rPr>
          <w:rFonts w:ascii="Times New Roman" w:cs="Times New Roman" w:eastAsia="Times New Roman" w:hAnsi="Times New Roman"/>
          <w:sz w:val="14"/>
          <w:szCs w:val="14"/>
          <w:color w:val="auto"/>
        </w:rPr>
        <w:t>Property, plant and equipment includes depreciable assets such as building, machinery, equipment, furniture, vehicles, and capitalized spare parts. These assets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depreciated using the straight-line method over their estimated useful lives. Major improvements are capitalized, while maintenance and repairs that do not extend the useful life of the applicable assets are expensed as incurred. Interest expense may also be capitalized for assets that require a period of time to get them ready for their intended use.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assets are carried at cost on the Condensed Consolidated Balance Sheet and are reviewed for possible impairment on an annual basis or when circumstances indicate that an asset may become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impaired. We take into consideration idle and underutilized equipment and review business plans for possible impairment. When impairment is indicated, an impairment charge is recorded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difference between the carrying value of the asset and its fair market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composition of property, plant and equipment is as follows (in thousands):</w:t>
      </w:r>
    </w:p>
    <w:p>
      <w:pPr>
        <w:spacing w:after="0" w:line="7"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13"/>
                <w:szCs w:val="13"/>
                <w:color w:val="auto"/>
              </w:rPr>
            </w:pPr>
          </w:p>
        </w:tc>
        <w:tc>
          <w:tcPr>
            <w:tcW w:w="11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88"/>
        </w:trPr>
        <w:tc>
          <w:tcPr>
            <w:tcW w:w="5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property, plant and equipment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340,000</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333,561</w:t>
            </w:r>
          </w:p>
        </w:tc>
      </w:tr>
      <w:tr>
        <w:trPr>
          <w:trHeight w:val="18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(202,584)</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4"/>
                <w:szCs w:val="14"/>
                <w:color w:val="auto"/>
              </w:rPr>
              <w:t>(195,765)</w:t>
            </w:r>
          </w:p>
        </w:tc>
      </w:tr>
      <w:tr>
        <w:trPr>
          <w:trHeight w:val="17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137,416</w:t>
            </w: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137,796</w:t>
            </w:r>
          </w:p>
        </w:tc>
      </w:tr>
    </w:tbl>
    <w:p>
      <w:pPr>
        <w:spacing w:after="0" w:line="200" w:lineRule="exact"/>
        <w:rPr>
          <w:sz w:val="20"/>
          <w:szCs w:val="20"/>
          <w:color w:val="auto"/>
        </w:rPr>
      </w:pPr>
    </w:p>
    <w:p>
      <w:pPr>
        <w:spacing w:after="0" w:line="2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Land, Mining Property and Mineral Rights. </w:t>
      </w:r>
      <w:r>
        <w:rPr>
          <w:rFonts w:ascii="Times New Roman" w:cs="Times New Roman" w:eastAsia="Times New Roman" w:hAnsi="Times New Roman"/>
          <w:sz w:val="14"/>
          <w:szCs w:val="14"/>
          <w:color w:val="auto"/>
        </w:rPr>
        <w:t>We surface mine sorbent materials on property that we either own or lease as part of our overall operations. A significant part of our overall mining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Reclamation. </w:t>
      </w:r>
      <w:r>
        <w:rPr>
          <w:rFonts w:ascii="Times New Roman" w:cs="Times New Roman" w:eastAsia="Times New Roman" w:hAnsi="Times New Roman"/>
          <w:sz w:val="14"/>
          <w:szCs w:val="14"/>
          <w:color w:val="auto"/>
        </w:rPr>
        <w:t>We perform ongoing reclamation activities during the normal course of our overburden removal. As overburden is removed from a mine site, it is hauled to previously mined sites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used to refill older sites. This process allows us to continuously reclaim older mine sites and dispose of overburden simultaneously, therefore minimizing the costs associated with the reclamation process.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On an annual basis we evaluate our potential reclamation liability in accordance with ASC 410, </w:t>
      </w:r>
      <w:r>
        <w:rPr>
          <w:rFonts w:ascii="Times New Roman" w:cs="Times New Roman" w:eastAsia="Times New Roman" w:hAnsi="Times New Roman"/>
          <w:sz w:val="14"/>
          <w:szCs w:val="14"/>
          <w:i w:val="1"/>
          <w:iCs w:val="1"/>
          <w:color w:val="auto"/>
        </w:rPr>
        <w:t>Asset Retirement and Environmental Obligations.</w:t>
      </w:r>
      <w:r>
        <w:rPr>
          <w:rFonts w:ascii="Times New Roman" w:cs="Times New Roman" w:eastAsia="Times New Roman" w:hAnsi="Times New Roman"/>
          <w:sz w:val="14"/>
          <w:szCs w:val="14"/>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ASC 842,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provides that a contract is, or contains, a lease if it conveys the right to control the use of an identified asset and, accordingly, a lease liability and a related right-of-use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("ROU") asset is recognized at the commencement date on our Condensed Consolidated Balance Sheet. As provided in ASC 842, we have elected not to apply these measurements and recognition requirements to short-term leases (i.e., leases with a term of 12 months or less). Short-term leases will not be recorded as ROU assets or lease liabilities on our Condensed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3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Revenue Recognition. </w:t>
      </w:r>
      <w:r>
        <w:rPr>
          <w:rFonts w:ascii="Times New Roman" w:cs="Times New Roman" w:eastAsia="Times New Roman" w:hAnsi="Times New Roman"/>
          <w:sz w:val="14"/>
          <w:szCs w:val="14"/>
          <w:color w:val="auto"/>
        </w:rPr>
        <w:t>We recognize revenue when performance obligations under the terms of the contracts with customers are satisfied. Our performance obligation generally consists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336" w:lineRule="exact"/>
        <w:rPr>
          <w:sz w:val="20"/>
          <w:szCs w:val="20"/>
          <w:color w:val="auto"/>
        </w:rPr>
      </w:pPr>
    </w:p>
    <w:p>
      <w:pPr>
        <w:ind w:right="4120"/>
        <w:spacing w:after="0" w:line="263" w:lineRule="auto"/>
        <w:rPr>
          <w:sz w:val="20"/>
          <w:szCs w:val="20"/>
          <w:color w:val="auto"/>
        </w:rPr>
      </w:pPr>
      <w:r>
        <w:rPr>
          <w:rFonts w:ascii="Times New Roman" w:cs="Times New Roman" w:eastAsia="Times New Roman" w:hAnsi="Times New Roman"/>
          <w:sz w:val="14"/>
          <w:szCs w:val="14"/>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liability for these advance payments of $0.1 million as of January 31, 2025, and $0.2 million as of July 31, 2024. This liability is reported in Other within Accrued Expenses on the unaudited Condensed Consolidated Balance Sheet. There was $0.2 million revenue recognized during the six months ended January 31, 2025, that was included in the liability for advance payments at the beginning of the period.</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expenses ("SG&amp;A") include salaries, wages and benefits associated with staff outside the manufacturing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Other Current and Noncurrent Liabilities. </w:t>
      </w:r>
      <w:r>
        <w:rPr>
          <w:rFonts w:ascii="Times New Roman" w:cs="Times New Roman" w:eastAsia="Times New Roman" w:hAnsi="Times New Roman"/>
          <w:sz w:val="14"/>
          <w:szCs w:val="14"/>
          <w:color w:val="auto"/>
        </w:rPr>
        <w:t>Other liabilities include the accruals for general expenses not yet paid, cash collected not yet vouchered, legal reserves, postretirement health benefit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and reclamation liability accrual. Current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jc w:val="both"/>
        <w:spacing w:after="0" w:line="287" w:lineRule="auto"/>
        <w:rPr>
          <w:sz w:val="20"/>
          <w:szCs w:val="20"/>
          <w:color w:val="auto"/>
        </w:rPr>
      </w:pPr>
      <w:r>
        <w:rPr>
          <w:rFonts w:ascii="Times New Roman" w:cs="Times New Roman" w:eastAsia="Times New Roman" w:hAnsi="Times New Roman"/>
          <w:sz w:val="14"/>
          <w:szCs w:val="14"/>
          <w:color w:val="auto"/>
        </w:rPr>
        <w:t>liabilities are due to be paid within the next 12 months. Other noncurrent liabilities on the unaudited Condensed Consolidated Balance Sheet include $4.9 million and $4.8 million for the reclamation liability as of January 31, 2025, and July 31, 2024, respectively, and $1.7 million for postretirement health benefit as of both January 31, 2025 and July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 and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Not Yet Adopted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Financial Accounting Standards Board (FASB) issued Accounting Standards Update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Improvements to Reportable Segment Disclosures."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Statement—Reporting Comprehensive Income—Expense Disaggregation Disclosures (Subtopic 220-40)." These amendments primarily require disaggregated disclosure, in the notes to the financial statements, of prescribed categories of expenses within relevant income statement captions. The requirements will be applied prospectively, with the option to apply the standard retrospectively, for annual periods beginning after December 15, 2026, and interim periods within fiscal years beginning after December 15, 2027. Early adoption is permitted. We are currently evaluating the impact that the adoption of this guidance will have on our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new accounting pronouncements adopted in the period.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EARNINGS PER SHARE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In both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Below is a reconciliation of the calculation of basic and diluted EPS.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8"/>
              </w:rPr>
              <w:t>For the Six Months Ended January 31, 2025</w:t>
            </w: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6"/>
          </w:tcPr>
          <w:p>
            <w:pPr>
              <w:jc w:val="center"/>
              <w:ind w:left="471"/>
              <w:spacing w:after="0"/>
              <w:rPr>
                <w:sz w:val="20"/>
                <w:szCs w:val="20"/>
                <w:color w:val="auto"/>
              </w:rPr>
            </w:pPr>
            <w:r>
              <w:rPr>
                <w:rFonts w:ascii="Times New Roman" w:cs="Times New Roman" w:eastAsia="Times New Roman" w:hAnsi="Times New Roman"/>
                <w:sz w:val="10"/>
                <w:szCs w:val="10"/>
                <w:b w:val="1"/>
                <w:bCs w:val="1"/>
                <w:color w:val="auto"/>
                <w:w w:val="98"/>
              </w:rPr>
              <w:t>For the Six Months Ended January 31, 2024</w:t>
            </w:r>
          </w:p>
        </w:tc>
        <w:tc>
          <w:tcPr>
            <w:tcW w:w="780" w:type="dxa"/>
            <w:vAlign w:val="bottom"/>
            <w:tcBorders>
              <w:bottom w:val="single" w:sz="8" w:color="auto"/>
            </w:tcBorders>
          </w:tcPr>
          <w:p>
            <w:pPr>
              <w:spacing w:after="0"/>
              <w:rPr>
                <w:sz w:val="11"/>
                <w:szCs w:val="11"/>
                <w:color w:val="auto"/>
              </w:rPr>
            </w:pPr>
          </w:p>
        </w:tc>
      </w:tr>
      <w:tr>
        <w:trPr>
          <w:trHeight w:val="125"/>
        </w:trPr>
        <w:tc>
          <w:tcPr>
            <w:tcW w:w="3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00" w:type="dxa"/>
            <w:vAlign w:val="bottom"/>
            <w:gridSpan w:val="6"/>
          </w:tcPr>
          <w:p>
            <w:pPr>
              <w:jc w:val="center"/>
              <w:ind w:left="31"/>
              <w:spacing w:after="0"/>
              <w:rPr>
                <w:sz w:val="20"/>
                <w:szCs w:val="20"/>
                <w:color w:val="auto"/>
              </w:rPr>
            </w:pPr>
            <w:r>
              <w:rPr>
                <w:rFonts w:ascii="Times New Roman" w:cs="Times New Roman" w:eastAsia="Times New Roman" w:hAnsi="Times New Roman"/>
                <w:sz w:val="10"/>
                <w:szCs w:val="10"/>
                <w:color w:val="auto"/>
                <w:w w:val="98"/>
              </w:rPr>
              <w:t>(in thousands, except for per share data)</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80" w:type="dxa"/>
            <w:vAlign w:val="bottom"/>
            <w:gridSpan w:val="6"/>
          </w:tcPr>
          <w:p>
            <w:pPr>
              <w:jc w:val="center"/>
              <w:ind w:left="471"/>
              <w:spacing w:after="0"/>
              <w:rPr>
                <w:sz w:val="20"/>
                <w:szCs w:val="20"/>
                <w:color w:val="auto"/>
              </w:rPr>
            </w:pPr>
            <w:r>
              <w:rPr>
                <w:rFonts w:ascii="Times New Roman" w:cs="Times New Roman" w:eastAsia="Times New Roman" w:hAnsi="Times New Roman"/>
                <w:sz w:val="10"/>
                <w:szCs w:val="10"/>
                <w:color w:val="auto"/>
                <w:w w:val="98"/>
              </w:rPr>
              <w:t>(in thousands, except for per share data)</w:t>
            </w:r>
          </w:p>
        </w:tc>
        <w:tc>
          <w:tcPr>
            <w:tcW w:w="780" w:type="dxa"/>
            <w:vAlign w:val="bottom"/>
          </w:tcPr>
          <w:p>
            <w:pPr>
              <w:spacing w:after="0"/>
              <w:rPr>
                <w:sz w:val="10"/>
                <w:szCs w:val="10"/>
                <w:color w:val="auto"/>
              </w:rPr>
            </w:pPr>
          </w:p>
        </w:tc>
      </w:tr>
      <w:tr>
        <w:trPr>
          <w:trHeight w:val="141"/>
        </w:trPr>
        <w:tc>
          <w:tcPr>
            <w:tcW w:w="3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Class B</w:t>
            </w:r>
          </w:p>
        </w:tc>
      </w:tr>
      <w:tr>
        <w:trPr>
          <w:trHeight w:val="13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7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29,297</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22,316</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6,981</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23,124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17,597</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5,527</w:t>
            </w:r>
          </w:p>
        </w:tc>
      </w:tr>
      <w:tr>
        <w:trPr>
          <w:trHeight w:val="13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Distributed and undistributed earnings on restricted shares</w:t>
            </w:r>
          </w:p>
        </w:tc>
        <w:tc>
          <w:tcPr>
            <w:tcW w:w="7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(1,412)</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(926)</w:t>
            </w: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(486)</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0"/>
                <w:szCs w:val="10"/>
                <w:color w:val="auto"/>
                <w:w w:val="95"/>
              </w:rPr>
              <w:t>(1,339)</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(434)</w:t>
            </w:r>
          </w:p>
        </w:tc>
      </w:tr>
      <w:tr>
        <w:trPr>
          <w:trHeight w:val="15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available to stockholders</w:t>
            </w:r>
          </w:p>
        </w:tc>
        <w:tc>
          <w:tcPr>
            <w:tcW w:w="72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27,885</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21,390</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6,495</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21,785</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16,692</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3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(Numerator)</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21,390</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6,495</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16,692</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5,093</w:t>
            </w:r>
          </w:p>
        </w:tc>
      </w:tr>
      <w:tr>
        <w:trPr>
          <w:trHeight w:val="13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Weighted Average Shares Outstanding (Denominator)</w:t>
            </w:r>
          </w:p>
        </w:tc>
        <w:tc>
          <w:tcPr>
            <w:tcW w:w="7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9,870</w:t>
            </w: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3,986</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9,712</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3,943</w:t>
            </w:r>
          </w:p>
        </w:tc>
      </w:tr>
      <w:tr>
        <w:trPr>
          <w:trHeight w:val="15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Basic EPS</w:t>
            </w:r>
          </w:p>
        </w:tc>
        <w:tc>
          <w:tcPr>
            <w:tcW w:w="7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2.17</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1.63</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1.72</w:t>
            </w:r>
          </w:p>
        </w:tc>
        <w:tc>
          <w:tcPr>
            <w:tcW w:w="1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1.29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3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Effect of dilution - Net Income </w:t>
            </w:r>
            <w:r>
              <w:rPr>
                <w:rFonts w:ascii="Times New Roman" w:cs="Times New Roman" w:eastAsia="Times New Roman" w:hAnsi="Times New Roman"/>
                <w:sz w:val="12"/>
                <w:szCs w:val="12"/>
                <w:color w:val="auto"/>
                <w:vertAlign w:val="superscript"/>
              </w:rPr>
              <w:t>(1)</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6,495</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5,093</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assuming dilution (Numerator)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27,885</w:t>
            </w:r>
          </w:p>
        </w:tc>
        <w:tc>
          <w:tcPr>
            <w:tcW w:w="16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6,495</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21,785</w:t>
            </w:r>
          </w:p>
        </w:tc>
        <w:tc>
          <w:tcPr>
            <w:tcW w:w="16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5,093</w:t>
            </w:r>
          </w:p>
        </w:tc>
      </w:tr>
      <w:tr>
        <w:trPr>
          <w:trHeight w:val="164"/>
        </w:trPr>
        <w:tc>
          <w:tcPr>
            <w:tcW w:w="38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38"/>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Effect of dilution - Shares </w:t>
            </w:r>
            <w:r>
              <w:rPr>
                <w:rFonts w:ascii="Times New Roman" w:cs="Times New Roman" w:eastAsia="Times New Roman" w:hAnsi="Times New Roman"/>
                <w:sz w:val="12"/>
                <w:szCs w:val="12"/>
                <w:color w:val="auto"/>
                <w:vertAlign w:val="superscript"/>
              </w:rPr>
              <w:t>(1)</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3,986</w:t>
            </w:r>
          </w:p>
        </w:tc>
        <w:tc>
          <w:tcPr>
            <w:tcW w:w="16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3,943</w:t>
            </w:r>
          </w:p>
        </w:tc>
        <w:tc>
          <w:tcPr>
            <w:tcW w:w="16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assuming dilution (Denominator)</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13,856</w:t>
            </w:r>
          </w:p>
        </w:tc>
        <w:tc>
          <w:tcPr>
            <w:tcW w:w="1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3,986</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13,655</w:t>
            </w:r>
          </w:p>
        </w:tc>
        <w:tc>
          <w:tcPr>
            <w:tcW w:w="1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3,943</w:t>
            </w:r>
          </w:p>
        </w:tc>
      </w:tr>
      <w:tr>
        <w:trPr>
          <w:trHeight w:val="13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Diluted EPS</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2.01</w:t>
            </w:r>
          </w:p>
        </w:tc>
        <w:tc>
          <w:tcPr>
            <w:tcW w:w="160" w:type="dxa"/>
            <w:vAlign w:val="bottom"/>
          </w:tcPr>
          <w:p>
            <w:pPr>
              <w:spacing w:after="0"/>
              <w:rPr>
                <w:sz w:val="11"/>
                <w:szCs w:val="11"/>
                <w:color w:val="auto"/>
              </w:rPr>
            </w:pP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1.63</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1.60</w:t>
            </w:r>
          </w:p>
        </w:tc>
        <w:tc>
          <w:tcPr>
            <w:tcW w:w="160" w:type="dxa"/>
            <w:vAlign w:val="bottom"/>
          </w:tcPr>
          <w:p>
            <w:pPr>
              <w:spacing w:after="0"/>
              <w:rPr>
                <w:sz w:val="11"/>
                <w:szCs w:val="11"/>
                <w:color w:val="auto"/>
              </w:rPr>
            </w:pPr>
          </w:p>
        </w:tc>
        <w:tc>
          <w:tcPr>
            <w:tcW w:w="3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1.29</w:t>
            </w:r>
          </w:p>
        </w:tc>
      </w:tr>
    </w:tbl>
    <w:p>
      <w:pPr>
        <w:spacing w:after="0" w:line="19" w:lineRule="exact"/>
        <w:rPr>
          <w:sz w:val="20"/>
          <w:szCs w:val="20"/>
          <w:color w:val="auto"/>
        </w:rPr>
      </w:pPr>
    </w:p>
    <w:p>
      <w:pPr>
        <w:ind w:left="20" w:right="240" w:hanging="1"/>
        <w:spacing w:after="0" w:line="247" w:lineRule="auto"/>
        <w:tabs>
          <w:tab w:leader="none" w:pos="119" w:val="left"/>
        </w:tabs>
        <w:numPr>
          <w:ilvl w:val="0"/>
          <w:numId w:val="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impact of 254,192 unvested shares of Common Stock and 116,949 unvested shares of Class B Stock was anti-dilutive therefore not included in the calculation of diluted EPS for the six months ended January 31, 2025. The impact of 368,382 unvested shares of Common Stock and 93,487 unvested shares of Class B Stock was anti-dilutive, and therefore not included in the calculation of diluted EPS for the six months ended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5615305</wp:posOffset>
            </wp:positionH>
            <wp:positionV relativeFrom="paragraph">
              <wp:posOffset>-155575</wp:posOffset>
            </wp:positionV>
            <wp:extent cx="15024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2410" cy="698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-155575</wp:posOffset>
            </wp:positionV>
            <wp:extent cx="15024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2410" cy="698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For the Three Months Ended January 31, 2025</w:t>
            </w: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0"/>
                <w:szCs w:val="10"/>
                <w:b w:val="1"/>
                <w:bCs w:val="1"/>
                <w:color w:val="auto"/>
                <w:w w:val="98"/>
              </w:rPr>
              <w:t>For the Three Months Ended January 31, 2024</w:t>
            </w:r>
          </w:p>
        </w:tc>
        <w:tc>
          <w:tcPr>
            <w:tcW w:w="760" w:type="dxa"/>
            <w:vAlign w:val="bottom"/>
            <w:tcBorders>
              <w:bottom w:val="single" w:sz="8" w:color="auto"/>
            </w:tcBorders>
          </w:tcPr>
          <w:p>
            <w:pPr>
              <w:spacing w:after="0"/>
              <w:rPr>
                <w:sz w:val="11"/>
                <w:szCs w:val="11"/>
                <w:color w:val="auto"/>
              </w:rPr>
            </w:pPr>
          </w:p>
        </w:tc>
      </w:tr>
      <w:tr>
        <w:trPr>
          <w:trHeight w:val="125"/>
        </w:trPr>
        <w:tc>
          <w:tcPr>
            <w:tcW w:w="3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40" w:type="dxa"/>
            <w:vAlign w:val="bottom"/>
            <w:gridSpan w:val="6"/>
          </w:tcPr>
          <w:p>
            <w:pPr>
              <w:jc w:val="center"/>
              <w:spacing w:after="0"/>
              <w:rPr>
                <w:sz w:val="20"/>
                <w:szCs w:val="20"/>
                <w:color w:val="auto"/>
              </w:rPr>
            </w:pPr>
            <w:r>
              <w:rPr>
                <w:rFonts w:ascii="Times New Roman" w:cs="Times New Roman" w:eastAsia="Times New Roman" w:hAnsi="Times New Roman"/>
                <w:sz w:val="10"/>
                <w:szCs w:val="10"/>
                <w:color w:val="auto"/>
                <w:w w:val="98"/>
              </w:rPr>
              <w:t>(in thousands, except for per share data)</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0" w:type="dxa"/>
            <w:vAlign w:val="bottom"/>
            <w:gridSpan w:val="6"/>
          </w:tcPr>
          <w:p>
            <w:pPr>
              <w:jc w:val="center"/>
              <w:ind w:left="451"/>
              <w:spacing w:after="0"/>
              <w:rPr>
                <w:sz w:val="20"/>
                <w:szCs w:val="20"/>
                <w:color w:val="auto"/>
              </w:rPr>
            </w:pPr>
            <w:r>
              <w:rPr>
                <w:rFonts w:ascii="Times New Roman" w:cs="Times New Roman" w:eastAsia="Times New Roman" w:hAnsi="Times New Roman"/>
                <w:sz w:val="10"/>
                <w:szCs w:val="10"/>
                <w:color w:val="auto"/>
                <w:w w:val="98"/>
              </w:rPr>
              <w:t>(in thousands, except for per share data)</w:t>
            </w:r>
          </w:p>
        </w:tc>
        <w:tc>
          <w:tcPr>
            <w:tcW w:w="760" w:type="dxa"/>
            <w:vAlign w:val="bottom"/>
          </w:tcPr>
          <w:p>
            <w:pPr>
              <w:spacing w:after="0"/>
              <w:rPr>
                <w:sz w:val="10"/>
                <w:szCs w:val="10"/>
                <w:color w:val="auto"/>
              </w:rPr>
            </w:pPr>
          </w:p>
        </w:tc>
      </w:tr>
      <w:tr>
        <w:trPr>
          <w:trHeight w:val="141"/>
        </w:trPr>
        <w:tc>
          <w:tcPr>
            <w:tcW w:w="3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Class B</w:t>
            </w:r>
          </w:p>
        </w:tc>
      </w:tr>
      <w:tr>
        <w:trPr>
          <w:trHeight w:val="13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7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12,921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9,855</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3,066</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12,382</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9,415</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2,967</w:t>
            </w:r>
          </w:p>
        </w:tc>
      </w:tr>
      <w:tr>
        <w:trPr>
          <w:trHeight w:val="13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Distributed and undistributed earnings on restricted shares</w:t>
            </w:r>
          </w:p>
        </w:tc>
        <w:tc>
          <w:tcPr>
            <w:tcW w:w="7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(598)</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(406)</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(698)</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w:t>
            </w:r>
          </w:p>
        </w:tc>
      </w:tr>
      <w:tr>
        <w:trPr>
          <w:trHeight w:val="15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available to stockholders</w:t>
            </w:r>
          </w:p>
        </w:tc>
        <w:tc>
          <w:tcPr>
            <w:tcW w:w="72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12,323</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9,449</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2,874</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11,684</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8,962</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3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(Numerator)</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9,449</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2,874</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8,962</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2,722</w:t>
            </w:r>
          </w:p>
        </w:tc>
      </w:tr>
      <w:tr>
        <w:trPr>
          <w:trHeight w:val="13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Weighted Average Shares Outstanding (Denominator)</w:t>
            </w:r>
          </w:p>
        </w:tc>
        <w:tc>
          <w:tcPr>
            <w:tcW w:w="7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9,895</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4,004</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9,766</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3,955</w:t>
            </w:r>
          </w:p>
        </w:tc>
      </w:tr>
      <w:tr>
        <w:trPr>
          <w:trHeight w:val="15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Basic EPS</w:t>
            </w:r>
          </w:p>
        </w:tc>
        <w:tc>
          <w:tcPr>
            <w:tcW w:w="7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0.95</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0.72</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0.92</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0.69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3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Effect of dilution - Net Income </w:t>
            </w:r>
            <w:r>
              <w:rPr>
                <w:rFonts w:ascii="Times New Roman" w:cs="Times New Roman" w:eastAsia="Times New Roman" w:hAnsi="Times New Roman"/>
                <w:sz w:val="12"/>
                <w:szCs w:val="12"/>
                <w:color w:val="auto"/>
                <w:vertAlign w:val="superscript"/>
              </w:rPr>
              <w:t>(1)</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2,874</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2,722</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assuming dilution (Numerator)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12,323</w:t>
            </w:r>
          </w:p>
        </w:tc>
        <w:tc>
          <w:tcPr>
            <w:tcW w:w="16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11,684</w:t>
            </w:r>
          </w:p>
        </w:tc>
        <w:tc>
          <w:tcPr>
            <w:tcW w:w="16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2,722</w:t>
            </w:r>
          </w:p>
        </w:tc>
      </w:tr>
      <w:tr>
        <w:trPr>
          <w:trHeight w:val="164"/>
        </w:trPr>
        <w:tc>
          <w:tcPr>
            <w:tcW w:w="38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38"/>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Effect of dilution - Shares </w:t>
            </w:r>
            <w:r>
              <w:rPr>
                <w:rFonts w:ascii="Times New Roman" w:cs="Times New Roman" w:eastAsia="Times New Roman" w:hAnsi="Times New Roman"/>
                <w:sz w:val="12"/>
                <w:szCs w:val="12"/>
                <w:color w:val="auto"/>
                <w:vertAlign w:val="superscript"/>
              </w:rPr>
              <w:t>(1)</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4,004</w:t>
            </w:r>
          </w:p>
        </w:tc>
        <w:tc>
          <w:tcPr>
            <w:tcW w:w="16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3,955</w:t>
            </w:r>
          </w:p>
        </w:tc>
        <w:tc>
          <w:tcPr>
            <w:tcW w:w="16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assuming dilution (Denominator)</w:t>
            </w: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13,899</w:t>
            </w:r>
          </w:p>
        </w:tc>
        <w:tc>
          <w:tcPr>
            <w:tcW w:w="1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4,004</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13,721</w:t>
            </w:r>
          </w:p>
        </w:tc>
        <w:tc>
          <w:tcPr>
            <w:tcW w:w="1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3,955</w:t>
            </w:r>
          </w:p>
        </w:tc>
      </w:tr>
      <w:tr>
        <w:trPr>
          <w:trHeight w:val="13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Diluted EPS</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0.89</w:t>
            </w:r>
          </w:p>
        </w:tc>
        <w:tc>
          <w:tcPr>
            <w:tcW w:w="16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0.72</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0.85</w:t>
            </w:r>
          </w:p>
        </w:tc>
        <w:tc>
          <w:tcPr>
            <w:tcW w:w="16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0.69</w:t>
            </w:r>
          </w:p>
        </w:tc>
      </w:tr>
    </w:tbl>
    <w:p>
      <w:pPr>
        <w:spacing w:after="0" w:line="19" w:lineRule="exact"/>
        <w:rPr>
          <w:sz w:val="20"/>
          <w:szCs w:val="20"/>
          <w:color w:val="auto"/>
        </w:rPr>
      </w:pPr>
    </w:p>
    <w:p>
      <w:pPr>
        <w:ind w:left="20" w:right="140" w:hanging="1"/>
        <w:spacing w:after="0" w:line="247" w:lineRule="auto"/>
        <w:tabs>
          <w:tab w:leader="none" w:pos="119" w:val="left"/>
        </w:tabs>
        <w:numPr>
          <w:ilvl w:val="0"/>
          <w:numId w:val="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impact of 250,151 unvested shares of Common Stock and 105,024 unvested shares of Class B Stock was anti-dilutive therefore not included in the calculation of diluted EPS for the three months ended January 31, 2025. The impact of 317,055 unvested shares of Common Stock and 78,349 unvested shares of Class B Stock was anti-dilutive, and therefore not included in the calculation of diluted EPS for the three months ended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5615305</wp:posOffset>
            </wp:positionH>
            <wp:positionV relativeFrom="paragraph">
              <wp:posOffset>-155575</wp:posOffset>
            </wp:positionV>
            <wp:extent cx="15024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2410" cy="698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-155575</wp:posOffset>
            </wp:positionV>
            <wp:extent cx="15024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2410" cy="69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3. INVENTORIES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composition of inventories is as follows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1"/>
        </w:trPr>
        <w:tc>
          <w:tcPr>
            <w:tcW w:w="19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24"/>
                <w:szCs w:val="24"/>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88"/>
        </w:trPr>
        <w:tc>
          <w:tcPr>
            <w:tcW w:w="1900" w:type="dxa"/>
            <w:vAlign w:val="bottom"/>
          </w:tcPr>
          <w:p>
            <w:pPr>
              <w:spacing w:after="0"/>
              <w:rPr>
                <w:sz w:val="16"/>
                <w:szCs w:val="16"/>
                <w:color w:val="auto"/>
              </w:rPr>
            </w:pPr>
          </w:p>
        </w:tc>
        <w:tc>
          <w:tcPr>
            <w:tcW w:w="4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1900" w:type="dxa"/>
            <w:vAlign w:val="bottom"/>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32,795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31,772</w:t>
            </w:r>
          </w:p>
        </w:tc>
      </w:tr>
      <w:tr>
        <w:trPr>
          <w:trHeight w:val="180"/>
        </w:trPr>
        <w:tc>
          <w:tcPr>
            <w:tcW w:w="19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Packaging</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8,995</w:t>
            </w:r>
          </w:p>
        </w:tc>
      </w:tr>
      <w:tr>
        <w:trPr>
          <w:trHeight w:val="180"/>
        </w:trPr>
        <w:tc>
          <w:tcPr>
            <w:tcW w:w="1900" w:type="dxa"/>
            <w:vAlign w:val="bottom"/>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Spare parts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w:t>
            </w:r>
          </w:p>
        </w:tc>
      </w:tr>
      <w:tr>
        <w:trPr>
          <w:trHeight w:val="180"/>
        </w:trPr>
        <w:tc>
          <w:tcPr>
            <w:tcW w:w="1900" w:type="dxa"/>
            <w:vAlign w:val="bottom"/>
          </w:tcPr>
          <w:p>
            <w:pPr>
              <w:spacing w:after="0"/>
              <w:rPr>
                <w:sz w:val="15"/>
                <w:szCs w:val="15"/>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7,283</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6,410</w:t>
            </w:r>
          </w:p>
        </w:tc>
      </w:tr>
      <w:tr>
        <w:trPr>
          <w:trHeight w:val="196"/>
        </w:trPr>
        <w:tc>
          <w:tcPr>
            <w:tcW w:w="1900" w:type="dxa"/>
            <w:vAlign w:val="bottom"/>
          </w:tcPr>
          <w:p>
            <w:pPr>
              <w:spacing w:after="0"/>
              <w:rPr>
                <w:sz w:val="16"/>
                <w:szCs w:val="16"/>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Inventories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55,231</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54,236</w:t>
            </w:r>
          </w:p>
        </w:tc>
      </w:tr>
      <w:tr>
        <w:trPr>
          <w:trHeight w:val="20"/>
        </w:trPr>
        <w:tc>
          <w:tcPr>
            <w:tcW w:w="190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89" w:right="39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4"/>
          <w:szCs w:val="14"/>
          <w:color w:val="auto"/>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$3.6 million and $3.8 million as of January 31, 2025 and July 31, 2024, respectively.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Quoted market prices in active markets for identical assets or liabilities.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 Unobservable inputs.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equivalents are classified as Level 1 of the fair value hierarchy because they are valued using quoted market prices in active markets. These cash instruments are primarily money market funds and are included in cash and cash equivalents on the Condensed Consolidated Balance Sheet. We had $0.9 million in cash equivalents as of January 31, 2025 and $3.0 million in cash equivalents as of July 31, 2024.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Balances of accounts receivable, short-term investments and accounts payable approximated their fair values at January 31, 2025 and July 31, 2024 due to the short maturity and nature of those balances.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Debt is reported at outstanding face value, less unamortized debt issuance costs. The estimated fair value of debt, including current maturities, was $40.4 million and $51.1 million as of January 31, 2025 and July 31, 2024, respectively. The fair value was estimated using the exit price notion of fair value and is classified as Level 2. See Note 8 of the Notes to the unaudited Condensed Consolidated Financial Statements for further information about such debt.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OTHER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intangible assets are mainly comprised of customer lists, patents, trademarks, trade names and goodwill.</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fiscal year 2024, we recorded additions of intangible assets of $37.4 million related to the acquisition of Ultra Pet Company, Inc. ("Ultra Pet"), the components of which were $20.4 million of customer list, $5.2 million of trade name and $11.8 million of goodwill. During fiscal year 2025, we recognized a measurement period adjustment as a result of our acquisition of Ultra Pet, which increased our goodwill by $0.3 million.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amortize customer lists on a straight-line basis over a useful life of 18 years and patents on a straight-line basis over periods ranging from 11 to 20 years. Estimated intangible amortization for fiscal year 2025 is $1.2 million. Estimated intangible amortization for each of the next five fiscal years is $1.2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Trademarks and trade names acquired via acquisitions, with a carrying value of $5.6 million, were determined to have an indefinite life and are not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ACCRUED EXPENSES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1"/>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is as follows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1"/>
        </w:trPr>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24"/>
                <w:szCs w:val="24"/>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88"/>
        </w:trPr>
        <w:tc>
          <w:tcPr>
            <w:tcW w:w="1720" w:type="dxa"/>
            <w:vAlign w:val="bottom"/>
          </w:tcPr>
          <w:p>
            <w:pPr>
              <w:spacing w:after="0"/>
              <w:rPr>
                <w:sz w:val="16"/>
                <w:szCs w:val="16"/>
                <w:color w:val="auto"/>
              </w:rPr>
            </w:pPr>
          </w:p>
        </w:tc>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17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Wages, Commissions and Employee Benefits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11,961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20,711</w:t>
            </w:r>
          </w:p>
        </w:tc>
      </w:tr>
      <w:tr>
        <w:trPr>
          <w:trHeight w:val="180"/>
        </w:trPr>
        <w:tc>
          <w:tcPr>
            <w:tcW w:w="17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7,797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w:t>
            </w:r>
          </w:p>
        </w:tc>
      </w:tr>
      <w:tr>
        <w:trPr>
          <w:trHeight w:val="180"/>
        </w:trPr>
        <w:tc>
          <w:tcPr>
            <w:tcW w:w="17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Freight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4,578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r>
      <w:tr>
        <w:trPr>
          <w:trHeight w:val="180"/>
        </w:trPr>
        <w:tc>
          <w:tcPr>
            <w:tcW w:w="17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Promotions and Advertising</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r>
      <w:tr>
        <w:trPr>
          <w:trHeight w:val="180"/>
        </w:trPr>
        <w:tc>
          <w:tcPr>
            <w:tcW w:w="17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r>
      <w:tr>
        <w:trPr>
          <w:trHeight w:val="180"/>
        </w:trPr>
        <w:tc>
          <w:tcPr>
            <w:tcW w:w="17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 Landfill Modification Reserve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r>
      <w:tr>
        <w:trPr>
          <w:trHeight w:val="180"/>
        </w:trPr>
        <w:tc>
          <w:tcPr>
            <w:tcW w:w="17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1,725</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w:t>
            </w:r>
          </w:p>
        </w:tc>
      </w:tr>
      <w:tr>
        <w:trPr>
          <w:trHeight w:val="171"/>
        </w:trPr>
        <w:tc>
          <w:tcPr>
            <w:tcW w:w="17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30,732</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44,016</w:t>
            </w:r>
          </w:p>
        </w:tc>
      </w:tr>
      <w:tr>
        <w:trPr>
          <w:trHeight w:val="20"/>
        </w:trPr>
        <w:tc>
          <w:tcPr>
            <w:tcW w:w="17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OTHER CONTINGENCIES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fiscal year 2023, we recorded a reserve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During fiscal year 2025, we increased the total estimated cost by $0.6 million resulting in a total $3.7 million expense related to this matter. The modification work is expected to be completed during fiscal year 2025.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DEBT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$6 million aggregate principal amount remained outstanding as of January 31, 2025, (ii) on December 16, 2021, we issued an additional $25 million in aggregate principal amount of our 3.25% Series C Senior Notes due December 16, 2031 (the "Series C Senior Notes"), all of which remained outstanding as of January 31, 2025, and (iii) on April 30, 2024 we issued $10 million in aggregate principal amount of our 6.47% Series D Senior Notes due April 30, 2033 (the "Series D Senior Notes"), all of which remained outstanding as of January 31, 2025. The Note Agreement also provides us with the ability to request, from time to time,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On September 21, 2023, the Company entered into Amendment No. 4 to the Note Agreement extending the time frame for issuing and selling Shelf Notes to September 21, 2026.</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party to the Credit Agreement, dated as of January 27, 2006 (as previously amended, the “Credit Agreement”), among us, BMO Harris Bank N.A (“BMO”), and certain of our domestic subsidiaries. The Credit Agreement provides for a $75 million unsecured revolving credit facility, including a maximum of $20 million for letters of credit.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 w:name="page19"/>
    <w:bookmarkEnd w:id="18"/>
    <w:p>
      <w:pPr>
        <w:jc w:val="both"/>
        <w:spacing w:after="0" w:line="242" w:lineRule="auto"/>
        <w:rPr>
          <w:sz w:val="20"/>
          <w:szCs w:val="20"/>
          <w:color w:val="auto"/>
        </w:rPr>
      </w:pPr>
      <w:r>
        <w:rPr>
          <w:rFonts w:ascii="Times New Roman" w:cs="Times New Roman" w:eastAsia="Times New Roman" w:hAnsi="Times New Roman"/>
          <w:sz w:val="14"/>
          <w:szCs w:val="14"/>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As of January 31, 2025, and July 31, 2024, we were in compliance with the restrictive covenants under the Credit Agreement. There were no new borrowings during the second quarter of fiscal year 2025; however, during the first half of fiscal year 2025 we elected to pay down $10 million of our borrowings under the Credit Agreement. As of January 31, 2025, we do not have any outstanding borrowings under the Credit Agreement. We had $2.9 million of letters of credit outstanding under the Credit Agreement as of both January 31, 2025 and July 31, 2024.</w:t>
      </w:r>
    </w:p>
    <w:p>
      <w:pPr>
        <w:jc w:val="both"/>
        <w:spacing w:after="0" w:line="259" w:lineRule="auto"/>
        <w:rPr>
          <w:sz w:val="20"/>
          <w:szCs w:val="20"/>
          <w:color w:val="auto"/>
        </w:rPr>
      </w:pPr>
      <w:r>
        <w:rPr>
          <w:rFonts w:ascii="Times New Roman" w:cs="Times New Roman" w:eastAsia="Times New Roman" w:hAnsi="Times New Roman"/>
          <w:sz w:val="14"/>
          <w:szCs w:val="14"/>
          <w:color w:val="auto"/>
        </w:rPr>
        <w:t>The Credit Agreement states that we may select a variable interest rate based on either the Bank of Montreal ("BMO") prime rate or an adjusted Secured Overnight Financing ("SOFR")-based rate, plus a margin that varies depending on our debt to earnings ratio, or a fixed rate as agreed between us and BMO. As of January 31, 2025, the variable rates would have been 7.50% for the BMO prime-based rate or 5.55% for the adjusted SOFR-based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no material finance leases, and variable costs for operating leases are immaterial for the six months ended January 31, 2025. Operating lease costs are included in Cost of Goods Sold or SG&amp;A expenses in the unaudited Condensed Consolidated Statements of Operations based on the nature of the lease. The following table summarizes total lease costs for our operating leases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41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6"/>
        </w:trPr>
        <w:tc>
          <w:tcPr>
            <w:tcW w:w="23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2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r>
      <w:tr>
        <w:trPr>
          <w:trHeight w:val="182"/>
        </w:trPr>
        <w:tc>
          <w:tcPr>
            <w:tcW w:w="2320" w:type="dxa"/>
            <w:vAlign w:val="bottom"/>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300" w:type="dxa"/>
            <w:vAlign w:val="bottom"/>
          </w:tcPr>
          <w:p>
            <w:pPr>
              <w:spacing w:after="0"/>
              <w:rPr>
                <w:sz w:val="15"/>
                <w:szCs w:val="15"/>
                <w:color w:val="auto"/>
              </w:rPr>
            </w:pPr>
          </w:p>
        </w:tc>
      </w:tr>
      <w:tr>
        <w:trPr>
          <w:trHeight w:val="192"/>
        </w:trPr>
        <w:tc>
          <w:tcPr>
            <w:tcW w:w="2320" w:type="dxa"/>
            <w:vAlign w:val="bottom"/>
          </w:tcPr>
          <w:p>
            <w:pPr>
              <w:spacing w:after="0"/>
              <w:rPr>
                <w:sz w:val="16"/>
                <w:szCs w:val="16"/>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2,739</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1,630</w:t>
            </w:r>
          </w:p>
        </w:tc>
        <w:tc>
          <w:tcPr>
            <w:tcW w:w="2300" w:type="dxa"/>
            <w:vAlign w:val="bottom"/>
          </w:tcPr>
          <w:p>
            <w:pPr>
              <w:spacing w:after="0"/>
              <w:rPr>
                <w:sz w:val="16"/>
                <w:szCs w:val="16"/>
                <w:color w:val="auto"/>
              </w:rPr>
            </w:pPr>
          </w:p>
        </w:tc>
      </w:tr>
      <w:tr>
        <w:trPr>
          <w:trHeight w:val="212"/>
        </w:trPr>
        <w:tc>
          <w:tcPr>
            <w:tcW w:w="232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operating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347</w:t>
            </w:r>
          </w:p>
        </w:tc>
        <w:tc>
          <w:tcPr>
            <w:tcW w:w="14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140" w:type="dxa"/>
            <w:vAlign w:val="bottom"/>
          </w:tcPr>
          <w:p>
            <w:pPr>
              <w:spacing w:after="0"/>
              <w:rPr>
                <w:sz w:val="18"/>
                <w:szCs w:val="18"/>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1,023</w:t>
            </w:r>
          </w:p>
        </w:tc>
        <w:tc>
          <w:tcPr>
            <w:tcW w:w="2300" w:type="dxa"/>
            <w:vAlign w:val="bottom"/>
          </w:tcPr>
          <w:p>
            <w:pPr>
              <w:spacing w:after="0"/>
              <w:rPr>
                <w:sz w:val="18"/>
                <w:szCs w:val="18"/>
                <w:color w:val="auto"/>
              </w:rPr>
            </w:pPr>
          </w:p>
        </w:tc>
      </w:tr>
      <w:tr>
        <w:trPr>
          <w:trHeight w:val="679"/>
        </w:trPr>
        <w:tc>
          <w:tcPr>
            <w:tcW w:w="2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87"/>
        </w:trPr>
        <w:tc>
          <w:tcPr>
            <w:tcW w:w="232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thousands):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24"/>
                <w:szCs w:val="24"/>
                <w:color w:val="auto"/>
              </w:rPr>
            </w:pPr>
          </w:p>
        </w:tc>
        <w:tc>
          <w:tcPr>
            <w:tcW w:w="184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00" w:type="dxa"/>
            <w:vAlign w:val="bottom"/>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262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Cash paid for amounts included in the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1,150</w:t>
            </w: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2,286</w:t>
            </w: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 of operating lease liabilities:</w:t>
            </w: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operating lease liabilities</w:t>
            </w:r>
          </w:p>
        </w:tc>
        <w:tc>
          <w:tcPr>
            <w:tcW w:w="1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3,699</w:t>
            </w: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580" w:type="dxa"/>
            <w:vAlign w:val="bottom"/>
          </w:tcPr>
          <w:p>
            <w:pPr>
              <w:spacing w:after="0"/>
              <w:rPr>
                <w:sz w:val="16"/>
                <w:szCs w:val="16"/>
                <w:color w:val="auto"/>
              </w:rPr>
            </w:pPr>
          </w:p>
        </w:tc>
        <w:tc>
          <w:tcPr>
            <w:tcW w:w="1480" w:type="dxa"/>
            <w:vAlign w:val="bottom"/>
          </w:tcPr>
          <w:p>
            <w:pPr>
              <w:jc w:val="center"/>
              <w:ind w:right="509"/>
              <w:spacing w:after="0"/>
              <w:rPr>
                <w:sz w:val="20"/>
                <w:szCs w:val="20"/>
                <w:color w:val="auto"/>
              </w:rPr>
            </w:pPr>
            <w:r>
              <w:rPr>
                <w:rFonts w:ascii="Times New Roman" w:cs="Times New Roman" w:eastAsia="Times New Roman" w:hAnsi="Times New Roman"/>
                <w:sz w:val="14"/>
                <w:szCs w:val="14"/>
                <w:b w:val="1"/>
                <w:bCs w:val="1"/>
                <w:color w:val="auto"/>
                <w:w w:val="99"/>
              </w:rPr>
              <w:t>July 31, 2024</w:t>
            </w:r>
          </w:p>
        </w:tc>
      </w:tr>
      <w:tr>
        <w:trPr>
          <w:trHeight w:val="171"/>
        </w:trPr>
        <w:tc>
          <w:tcPr>
            <w:tcW w:w="680" w:type="dxa"/>
            <w:vAlign w:val="bottom"/>
          </w:tcPr>
          <w:p>
            <w:pPr>
              <w:spacing w:after="0"/>
              <w:rPr>
                <w:sz w:val="14"/>
                <w:szCs w:val="14"/>
                <w:color w:val="auto"/>
              </w:rPr>
            </w:pPr>
          </w:p>
        </w:tc>
        <w:tc>
          <w:tcPr>
            <w:tcW w:w="5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Weighted-average remaining lease term - operating leases</w:t>
            </w:r>
          </w:p>
        </w:tc>
        <w:tc>
          <w:tcPr>
            <w:tcW w:w="23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5.1 years</w:t>
            </w: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509"/>
              <w:spacing w:after="0"/>
              <w:rPr>
                <w:sz w:val="20"/>
                <w:szCs w:val="20"/>
                <w:color w:val="auto"/>
              </w:rPr>
            </w:pPr>
            <w:r>
              <w:rPr>
                <w:rFonts w:ascii="Times New Roman" w:cs="Times New Roman" w:eastAsia="Times New Roman" w:hAnsi="Times New Roman"/>
                <w:sz w:val="14"/>
                <w:szCs w:val="14"/>
                <w:color w:val="auto"/>
                <w:w w:val="98"/>
              </w:rPr>
              <w:t>5.4 years</w:t>
            </w:r>
          </w:p>
        </w:tc>
      </w:tr>
      <w:tr>
        <w:trPr>
          <w:trHeight w:val="180"/>
        </w:trPr>
        <w:tc>
          <w:tcPr>
            <w:tcW w:w="680" w:type="dxa"/>
            <w:vAlign w:val="bottom"/>
          </w:tcPr>
          <w:p>
            <w:pPr>
              <w:spacing w:after="0"/>
              <w:rPr>
                <w:sz w:val="15"/>
                <w:szCs w:val="15"/>
                <w:color w:val="auto"/>
              </w:rPr>
            </w:pPr>
          </w:p>
        </w:tc>
        <w:tc>
          <w:tcPr>
            <w:tcW w:w="5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1420" w:type="dxa"/>
            <w:vAlign w:val="bottom"/>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w w:val="98"/>
              </w:rPr>
              <w:t>5.11%</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5.10%</w:t>
            </w:r>
          </w:p>
        </w:tc>
      </w:tr>
      <w:tr>
        <w:trPr>
          <w:trHeight w:val="435"/>
        </w:trPr>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Lease liability maturities as of January 31, 2025, are as follows (in thousands):</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Fiscal year 2025 (remaining six months)</w:t>
            </w:r>
          </w:p>
        </w:tc>
        <w:tc>
          <w:tcPr>
            <w:tcW w:w="238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2,681</w:t>
            </w:r>
          </w:p>
        </w:tc>
        <w:tc>
          <w:tcPr>
            <w:tcW w:w="1480" w:type="dxa"/>
            <w:vAlign w:val="bottom"/>
          </w:tcPr>
          <w:p>
            <w:pPr>
              <w:spacing w:after="0"/>
              <w:rPr>
                <w:sz w:val="15"/>
                <w:szCs w:val="15"/>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Fiscal year 2026</w:t>
            </w: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4,724</w:t>
            </w:r>
          </w:p>
        </w:tc>
        <w:tc>
          <w:tcPr>
            <w:tcW w:w="1480" w:type="dxa"/>
            <w:vAlign w:val="bottom"/>
          </w:tcPr>
          <w:p>
            <w:pPr>
              <w:spacing w:after="0"/>
              <w:rPr>
                <w:sz w:val="15"/>
                <w:szCs w:val="15"/>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Fiscal year 2027</w:t>
            </w:r>
          </w:p>
        </w:tc>
        <w:tc>
          <w:tcPr>
            <w:tcW w:w="1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3,758</w:t>
            </w:r>
          </w:p>
        </w:tc>
        <w:tc>
          <w:tcPr>
            <w:tcW w:w="1480" w:type="dxa"/>
            <w:vAlign w:val="bottom"/>
          </w:tcPr>
          <w:p>
            <w:pPr>
              <w:spacing w:after="0"/>
              <w:rPr>
                <w:sz w:val="15"/>
                <w:szCs w:val="15"/>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Fiscal year 2028</w:t>
            </w: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2,948</w:t>
            </w:r>
          </w:p>
        </w:tc>
        <w:tc>
          <w:tcPr>
            <w:tcW w:w="1480" w:type="dxa"/>
            <w:vAlign w:val="bottom"/>
          </w:tcPr>
          <w:p>
            <w:pPr>
              <w:spacing w:after="0"/>
              <w:rPr>
                <w:sz w:val="15"/>
                <w:szCs w:val="15"/>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Fiscal year 2029</w:t>
            </w:r>
          </w:p>
        </w:tc>
        <w:tc>
          <w:tcPr>
            <w:tcW w:w="1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2,356</w:t>
            </w:r>
          </w:p>
        </w:tc>
        <w:tc>
          <w:tcPr>
            <w:tcW w:w="1480" w:type="dxa"/>
            <w:vAlign w:val="bottom"/>
          </w:tcPr>
          <w:p>
            <w:pPr>
              <w:spacing w:after="0"/>
              <w:rPr>
                <w:sz w:val="15"/>
                <w:szCs w:val="15"/>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3,478</w:t>
            </w:r>
          </w:p>
        </w:tc>
        <w:tc>
          <w:tcPr>
            <w:tcW w:w="1480" w:type="dxa"/>
            <w:vAlign w:val="bottom"/>
          </w:tcPr>
          <w:p>
            <w:pPr>
              <w:spacing w:after="0"/>
              <w:rPr>
                <w:sz w:val="15"/>
                <w:szCs w:val="15"/>
                <w:color w:val="auto"/>
              </w:rPr>
            </w:pPr>
          </w:p>
        </w:tc>
      </w:tr>
      <w:tr>
        <w:trPr>
          <w:trHeight w:val="171"/>
        </w:trPr>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19,945</w:t>
            </w:r>
          </w:p>
        </w:tc>
        <w:tc>
          <w:tcPr>
            <w:tcW w:w="1480" w:type="dxa"/>
            <w:vAlign w:val="bottom"/>
          </w:tcPr>
          <w:p>
            <w:pPr>
              <w:spacing w:after="0"/>
              <w:rPr>
                <w:sz w:val="14"/>
                <w:szCs w:val="14"/>
                <w:color w:val="auto"/>
              </w:rPr>
            </w:pPr>
          </w:p>
        </w:tc>
      </w:tr>
      <w:tr>
        <w:trPr>
          <w:trHeight w:val="180"/>
        </w:trPr>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(2,327)</w:t>
            </w:r>
          </w:p>
        </w:tc>
        <w:tc>
          <w:tcPr>
            <w:tcW w:w="1480" w:type="dxa"/>
            <w:vAlign w:val="bottom"/>
          </w:tcPr>
          <w:p>
            <w:pPr>
              <w:spacing w:after="0"/>
              <w:rPr>
                <w:sz w:val="15"/>
                <w:szCs w:val="15"/>
                <w:color w:val="auto"/>
              </w:rPr>
            </w:pPr>
          </w:p>
        </w:tc>
      </w:tr>
      <w:tr>
        <w:trPr>
          <w:trHeight w:val="196"/>
        </w:trPr>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lease obligation</w:t>
            </w:r>
          </w:p>
        </w:tc>
        <w:tc>
          <w:tcPr>
            <w:tcW w:w="14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17,618</w:t>
            </w:r>
          </w:p>
        </w:tc>
        <w:tc>
          <w:tcPr>
            <w:tcW w:w="148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OPERATING SEGMENTS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two operating segments: (1) Retail and Wholesale Products Group and (2) Business to Business Products Group. The Retail and Wholesale Products Group is comprised of our Cat Litter and Industrial and Sports Products and the Business to Business Products Group is comprised of our Agricultural and Horticultural, Fluids Purification, and Animal Health &amp; Nutrition Products.These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sales for our principal products by segment are as follows (in thousands):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93"/>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Business to Business Products Group</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Retail and Wholesale Products Group</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Borders>
              <w:bottom w:val="single" w:sz="8" w:color="CCEEFF"/>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Cat Litter</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130,913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120,187</w:t>
            </w:r>
          </w:p>
        </w:tc>
      </w:tr>
      <w:tr>
        <w:trPr>
          <w:trHeight w:val="180"/>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 and Sports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22,115</w:t>
            </w:r>
          </w:p>
        </w:tc>
        <w:tc>
          <w:tcPr>
            <w:tcW w:w="1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21,524</w:t>
            </w:r>
          </w:p>
        </w:tc>
      </w:tr>
      <w:tr>
        <w:trPr>
          <w:trHeight w:val="180"/>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Agricultural and Horticultural</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20,757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Fluids Purification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57,115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45,115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Animal Health &amp; Nutrition</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13,959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91,831</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75,395</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153,028</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141,711</w:t>
            </w: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47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4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Business to Business Products Group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9"/>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Retail and Wholesale Products Group</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660" w:type="dxa"/>
            <w:vAlign w:val="bottom"/>
            <w:tcBorders>
              <w:top w:val="single" w:sz="8" w:color="auto"/>
              <w:bottom w:val="single" w:sz="8" w:color="auto"/>
            </w:tcBorders>
            <w:gridSpan w:val="10"/>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Cat Litter</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63,237</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59,326</w:t>
            </w:r>
          </w:p>
        </w:tc>
        <w:tc>
          <w:tcPr>
            <w:tcW w:w="260" w:type="dxa"/>
            <w:vAlign w:val="bottom"/>
          </w:tcPr>
          <w:p>
            <w:pPr>
              <w:spacing w:after="0"/>
              <w:rPr>
                <w:sz w:val="14"/>
                <w:szCs w:val="14"/>
                <w:color w:val="auto"/>
              </w:rPr>
            </w:pPr>
          </w:p>
        </w:tc>
      </w:tr>
      <w:tr>
        <w:trPr>
          <w:trHeight w:val="180"/>
        </w:trPr>
        <w:tc>
          <w:tcPr>
            <w:tcW w:w="90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 and Sports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10,261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260" w:type="dxa"/>
            <w:vAlign w:val="bottom"/>
          </w:tcPr>
          <w:p>
            <w:pPr>
              <w:spacing w:after="0"/>
              <w:rPr>
                <w:sz w:val="15"/>
                <w:szCs w:val="15"/>
                <w:color w:val="auto"/>
              </w:rPr>
            </w:pPr>
          </w:p>
        </w:tc>
      </w:tr>
      <w:tr>
        <w:trPr>
          <w:trHeight w:val="180"/>
        </w:trPr>
        <w:tc>
          <w:tcPr>
            <w:tcW w:w="900" w:type="dxa"/>
            <w:vAlign w:val="bottom"/>
          </w:tcPr>
          <w:p>
            <w:pPr>
              <w:spacing w:after="0"/>
              <w:rPr>
                <w:sz w:val="15"/>
                <w:szCs w:val="15"/>
                <w:color w:val="auto"/>
              </w:rPr>
            </w:pP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Agricultural and Horticultural</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r>
      <w:tr>
        <w:trPr>
          <w:trHeight w:val="180"/>
        </w:trPr>
        <w:tc>
          <w:tcPr>
            <w:tcW w:w="90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Fluids Purification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26,512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r>
      <w:tr>
        <w:trPr>
          <w:trHeight w:val="180"/>
        </w:trPr>
        <w:tc>
          <w:tcPr>
            <w:tcW w:w="900" w:type="dxa"/>
            <w:vAlign w:val="bottom"/>
          </w:tcPr>
          <w:p>
            <w:pPr>
              <w:spacing w:after="0"/>
              <w:rPr>
                <w:sz w:val="15"/>
                <w:szCs w:val="15"/>
                <w:color w:val="auto"/>
              </w:rPr>
            </w:pP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Animal Health &amp; Nutrition</w:t>
            </w:r>
          </w:p>
        </w:tc>
        <w:tc>
          <w:tcPr>
            <w:tcW w:w="2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7,729</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r>
      <w:tr>
        <w:trPr>
          <w:trHeight w:val="171"/>
        </w:trPr>
        <w:tc>
          <w:tcPr>
            <w:tcW w:w="900" w:type="dxa"/>
            <w:vAlign w:val="bottom"/>
          </w:tcPr>
          <w:p>
            <w:pPr>
              <w:spacing w:after="0"/>
              <w:rPr>
                <w:sz w:val="14"/>
                <w:szCs w:val="14"/>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43,416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73,498</w:t>
            </w:r>
          </w:p>
        </w:tc>
        <w:tc>
          <w:tcPr>
            <w:tcW w:w="18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69,434</w:t>
            </w:r>
          </w:p>
        </w:tc>
        <w:tc>
          <w:tcPr>
            <w:tcW w:w="26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to Business Products Group</w:t>
            </w:r>
          </w:p>
        </w:tc>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99,096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and Wholesale Products Group</w:t>
            </w: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196,844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Assets</w:t>
            </w:r>
          </w:p>
        </w:tc>
        <w:tc>
          <w:tcPr>
            <w:tcW w:w="46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57,807</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353,747</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640" w:type="dxa"/>
            <w:vAlign w:val="bottom"/>
            <w:vMerge w:val="restart"/>
          </w:tcPr>
          <w:p>
            <w:pPr>
              <w:jc w:val="right"/>
              <w:ind w:right="274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4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jc w:val="both"/>
        <w:spacing w:after="0" w:line="287" w:lineRule="auto"/>
        <w:rPr>
          <w:sz w:val="20"/>
          <w:szCs w:val="20"/>
          <w:color w:val="auto"/>
        </w:rPr>
      </w:pPr>
      <w:r>
        <w:rPr>
          <w:rFonts w:ascii="Times New Roman" w:cs="Times New Roman" w:eastAsia="Times New Roman" w:hAnsi="Times New Roman"/>
          <w:sz w:val="14"/>
          <w:szCs w:val="14"/>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71"/>
        </w:trPr>
        <w:tc>
          <w:tcPr>
            <w:tcW w:w="5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tcBorders>
              <w:bottom w:val="single" w:sz="8" w:color="auto"/>
            </w:tcBorders>
          </w:tcPr>
          <w:p>
            <w:pPr>
              <w:spacing w:after="0"/>
              <w:rPr>
                <w:sz w:val="14"/>
                <w:szCs w:val="14"/>
                <w:color w:val="auto"/>
              </w:rPr>
            </w:pPr>
          </w:p>
        </w:tc>
      </w:tr>
      <w:tr>
        <w:trPr>
          <w:trHeight w:val="171"/>
        </w:trPr>
        <w:tc>
          <w:tcPr>
            <w:tcW w:w="5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to Business Products Group</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91,831</w:t>
            </w:r>
          </w:p>
        </w:tc>
        <w:tc>
          <w:tcPr>
            <w:tcW w:w="50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75,395</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31,432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22,108</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Retail and Wholesale Products Group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153,028</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141,711</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24,705</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23,208</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244,859</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217,106</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Expenses</w:t>
            </w:r>
          </w:p>
        </w:tc>
        <w:tc>
          <w:tcPr>
            <w:tcW w:w="2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(17,465)</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(16,995)</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38,672</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28,321</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Expenses, Net</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36,462</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27,512</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(7,165)</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w w:val="97"/>
              </w:rPr>
              <w:t>(4,388)</w:t>
            </w:r>
          </w:p>
        </w:tc>
      </w:tr>
      <w:tr>
        <w:trPr>
          <w:trHeight w:val="175"/>
        </w:trPr>
        <w:tc>
          <w:tcPr>
            <w:tcW w:w="568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line="15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29,297</w:t>
            </w: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line="150"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ind w:left="500"/>
              <w:spacing w:after="0" w:line="150" w:lineRule="exact"/>
              <w:rPr>
                <w:sz w:val="20"/>
                <w:szCs w:val="20"/>
                <w:color w:val="auto"/>
              </w:rPr>
            </w:pPr>
            <w:r>
              <w:rPr>
                <w:rFonts w:ascii="Times New Roman" w:cs="Times New Roman" w:eastAsia="Times New Roman" w:hAnsi="Times New Roman"/>
                <w:sz w:val="14"/>
                <w:szCs w:val="14"/>
                <w:color w:val="auto"/>
              </w:rPr>
              <w:t>23,124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34"/>
        </w:trPr>
        <w:tc>
          <w:tcPr>
            <w:tcW w:w="5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1"/>
        </w:trPr>
        <w:tc>
          <w:tcPr>
            <w:tcW w:w="5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tcBorders>
              <w:bottom w:val="single" w:sz="8" w:color="auto"/>
            </w:tcBorders>
          </w:tcPr>
          <w:p>
            <w:pPr>
              <w:spacing w:after="0"/>
              <w:rPr>
                <w:sz w:val="14"/>
                <w:szCs w:val="14"/>
                <w:color w:val="auto"/>
              </w:rPr>
            </w:pPr>
          </w:p>
        </w:tc>
      </w:tr>
      <w:tr>
        <w:trPr>
          <w:trHeight w:val="171"/>
        </w:trPr>
        <w:tc>
          <w:tcPr>
            <w:tcW w:w="5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to Business Products Group</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43,416</w:t>
            </w:r>
          </w:p>
        </w:tc>
        <w:tc>
          <w:tcPr>
            <w:tcW w:w="160" w:type="dxa"/>
            <w:vAlign w:val="bottom"/>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36,234</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14,322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10,985</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Retail and Wholesale Products Group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73,498</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69,434</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11,328</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11,877</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116,914</w:t>
            </w:r>
          </w:p>
        </w:tc>
        <w:tc>
          <w:tcPr>
            <w:tcW w:w="160" w:type="dxa"/>
            <w:vAlign w:val="bottom"/>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105,668</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Expenses</w:t>
            </w:r>
          </w:p>
        </w:tc>
        <w:tc>
          <w:tcPr>
            <w:tcW w:w="2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(8,168)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w w:val="97"/>
              </w:rPr>
              <w:t>(7,697)</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17,482</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15,165</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Expenses, Net</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(1,222)</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16,260</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14,682</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(3,339)</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w w:val="97"/>
              </w:rPr>
              <w:t>(2,300)</w:t>
            </w:r>
          </w:p>
        </w:tc>
      </w:tr>
      <w:tr>
        <w:trPr>
          <w:trHeight w:val="19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12,921</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12,382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January 31, 2025, there were 1,126,883 shares of Common Stock or Class B Stock available for future grants under this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of our non-vested restricted shares as of January 31, 2025 were issued under the 2006 Plan with vesting periods generally between one and five years. We determined the fair value of restricted shares as of the grant date. We recognize the related compensation expense over the period from the date of grant to the date the shares vest.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82,550 and 140,000 restricted shares of Common Stock granted during the six months ended January 31, 2025 and 2024, respectively. There were no restricted shares of Class B Stock granted during the six months ended January 31, 2025 and 250,000 restricted shares of Class B Stock granted during the six months ended January 31, 2024. Stock-based compensation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2" w:name="page23"/>
    <w:bookmarkEnd w:id="22"/>
    <w:p>
      <w:pPr>
        <w:jc w:val="both"/>
        <w:spacing w:after="0" w:line="287" w:lineRule="auto"/>
        <w:rPr>
          <w:sz w:val="20"/>
          <w:szCs w:val="20"/>
          <w:color w:val="auto"/>
        </w:rPr>
      </w:pPr>
      <w:r>
        <w:rPr>
          <w:rFonts w:ascii="Times New Roman" w:cs="Times New Roman" w:eastAsia="Times New Roman" w:hAnsi="Times New Roman"/>
          <w:sz w:val="14"/>
          <w:szCs w:val="14"/>
          <w:color w:val="auto"/>
        </w:rPr>
        <w:t>expense was $1.1 million and $1.0 million for the three months ended January 31, 2025 and 2024, respectively, and $1.9 million and $1.8 million for the six months ended January 31, 2025 and 2024,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summary of restricted stock transactions is shown below:</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440" w:type="dxa"/>
            <w:vAlign w:val="bottom"/>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38"/>
        </w:trPr>
        <w:tc>
          <w:tcPr>
            <w:tcW w:w="5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jc w:val="center"/>
              <w:ind w:right="129"/>
              <w:spacing w:after="0" w:line="138"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61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restricted stock outstanding at July 31, 2024</w:t>
            </w:r>
          </w:p>
        </w:tc>
        <w:tc>
          <w:tcPr>
            <w:tcW w:w="14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(172)</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Forfeitures</w:t>
            </w:r>
          </w:p>
        </w:tc>
        <w:tc>
          <w:tcPr>
            <w:tcW w:w="1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tcBorders>
              <w:bottom w:val="single" w:sz="8" w:color="CCEEFF"/>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restricted stock outstanding at January 31,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ACCUMULATED OTHER COMPREHENSIVE INCOME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accumulated other comprehensive income (loss) by component as of January 31, 2025 (in thousands):</w:t>
      </w:r>
    </w:p>
    <w:p>
      <w:pPr>
        <w:spacing w:after="0" w:line="22"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Postretirement Health</w:t>
            </w:r>
          </w:p>
        </w:tc>
        <w:tc>
          <w:tcPr>
            <w:tcW w:w="18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Cumulative Translation</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jc w:val="right"/>
              <w:ind w:right="29"/>
              <w:spacing w:after="0" w:line="138" w:lineRule="exact"/>
              <w:rPr>
                <w:sz w:val="20"/>
                <w:szCs w:val="20"/>
                <w:color w:val="auto"/>
              </w:rPr>
            </w:pPr>
            <w:r>
              <w:rPr>
                <w:rFonts w:ascii="Times New Roman" w:cs="Times New Roman" w:eastAsia="Times New Roman" w:hAnsi="Times New Roman"/>
                <w:sz w:val="14"/>
                <w:szCs w:val="14"/>
                <w:b w:val="1"/>
                <w:bCs w:val="1"/>
                <w:color w:val="auto"/>
                <w:w w:val="99"/>
              </w:rPr>
              <w:t>Comprehensive Income</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24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0" w:type="dxa"/>
            <w:vAlign w:val="bottom"/>
          </w:tcPr>
          <w:p>
            <w:pPr>
              <w:spacing w:after="0"/>
              <w:rPr>
                <w:sz w:val="16"/>
                <w:szCs w:val="16"/>
                <w:color w:val="auto"/>
              </w:rPr>
            </w:pP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1"/>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July 31, 2024</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4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80" w:type="dxa"/>
            <w:vAlign w:val="bottom"/>
          </w:tcPr>
          <w:p>
            <w:pPr>
              <w:spacing w:after="0"/>
              <w:rPr>
                <w:sz w:val="15"/>
                <w:szCs w:val="15"/>
                <w:color w:val="auto"/>
              </w:rPr>
            </w:pPr>
          </w:p>
        </w:tc>
        <w:tc>
          <w:tcPr>
            <w:tcW w:w="2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current-period other comprehensive (loss) income, net of tax</w:t>
            </w:r>
          </w:p>
        </w:tc>
        <w:tc>
          <w:tcPr>
            <w:tcW w:w="1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31, 2025</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4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RELATED PARTY TRANSACTIONS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One member of our Board is currently the President and Chief Executive Officer of one of our vendors. Total payments to this vendor for fees and cost reimbursements were $0.2 million and $0.4 million for the three months ended January 31, 2025 and January 31, 2024, respectively, and $0.5 million for the first six months of both fiscal years 2025 and 2024. There were no outstanding accounts payable due to that vendor as of January 31, 2025 and $0.1 million in outstanding accounts payable due as of July 31, 2024.</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One member of our Board retired from the role of President and Chief Executive Officer of one of our customers on September 28, 2019, and is currently party to a post-employment consulting agreement with this customer. Total sales to that customer, including sales to its subsidiaries, were $0.1 million for the three months ended January 31, 2025. There were no sales to that customer for the three months ended January 31, 2024. Total sales to that customer, including sales to its subsidiaries, were $0.2 million and $0.1 million for the first six months of fiscal years 2025 and 2024, respectively. There were no outstanding amounts due from that customer as of either January 31, 2025 or July 31,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2024.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Annual Report on Form 10-K for the fiscal year ended July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OVERVIEW</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and the Business to Business Products Group ("Business to Business"), as described in Note 10 of the Notes to the unaudited Condensed Consolidated Financial Statements. Each operating segment is discussed individually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OVERVIEW</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center"/>
              <w:ind w:right="369"/>
              <w:spacing w:after="0" w:line="159" w:lineRule="exact"/>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76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48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49"/>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44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244,859</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217,106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$27,753</w:t>
            </w: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116,914</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105,668</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11,246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75,228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$13,295</w:t>
            </w:r>
          </w:p>
        </w:tc>
        <w:tc>
          <w:tcPr>
            <w:tcW w:w="82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34,448</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3,506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38,672</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$10,351</w:t>
            </w: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17,482</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15,165</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2,317</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29,297</w:t>
            </w:r>
          </w:p>
        </w:tc>
        <w:tc>
          <w:tcPr>
            <w:tcW w:w="1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23,124</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$6,173</w:t>
            </w:r>
          </w:p>
        </w:tc>
        <w:tc>
          <w:tcPr>
            <w:tcW w:w="820" w:type="dxa"/>
            <w:vAlign w:val="bottom"/>
            <w:tcBorders>
              <w:bottom w:val="single" w:sz="8" w:color="auto"/>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12,921</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539</w:t>
            </w:r>
          </w:p>
        </w:tc>
        <w:tc>
          <w:tcPr>
            <w:tcW w:w="880" w:type="dxa"/>
            <w:vAlign w:val="bottom"/>
            <w:tcBorders>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to Business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91,831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$16,436</w:t>
            </w:r>
          </w:p>
        </w:tc>
        <w:tc>
          <w:tcPr>
            <w:tcW w:w="82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43,416</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7,182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31,432</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$9,324</w:t>
            </w: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14,322</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10,985</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3,337</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Retail &amp; Wholesale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153,028</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141,711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$11,317</w:t>
            </w: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73,498</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69,434</w:t>
            </w:r>
          </w:p>
        </w:tc>
        <w:tc>
          <w:tcPr>
            <w:tcW w:w="1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4,064</w:t>
            </w:r>
          </w:p>
        </w:tc>
        <w:tc>
          <w:tcPr>
            <w:tcW w:w="88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24,705</w:t>
            </w:r>
          </w:p>
        </w:tc>
        <w:tc>
          <w:tcPr>
            <w:tcW w:w="1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23,208</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$1,497</w:t>
            </w:r>
          </w:p>
        </w:tc>
        <w:tc>
          <w:tcPr>
            <w:tcW w:w="82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11,328</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11,877</w:t>
            </w:r>
          </w:p>
        </w:tc>
        <w:tc>
          <w:tcPr>
            <w:tcW w:w="1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w:t>
            </w:r>
          </w:p>
        </w:tc>
        <w:tc>
          <w:tcPr>
            <w:tcW w:w="880" w:type="dxa"/>
            <w:vAlign w:val="bottom"/>
            <w:tcBorders>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99"/>
              </w:rPr>
              <w:t>(5)%</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Fiscal year 2025 continues to be a strong year with consolidated net sales, gross profit and net income growing in the six months ended January 31, 2025 when compared to the six months January 31, 2024. Net sales grew across both the Business to Business Products Group and the Retail and Wholesale Products Group. Both operating segments grew due to stronger demand, favorable product mix and higher prices compared to the same period in fiscal year 2024. Consolidated net sales of $244.9 million increased $27.8 million, or 13%, in the six months ended January 31, 2025, compared to the six months ended January 31, 2024. Gross margin grew to 31% for the six months ended January 31, 2025, compared to 29% for the six months ended January 31, 2024.</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higher SG&amp;A and other expenses consolidated income from operations increased $10.4 million, or 37%, and including the impact of tax consolidated net income increased $6.2 million, or 27%, for the six months ended January 31, 2025, compared to the six months ended January 31,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jc w:val="both"/>
        <w:spacing w:after="0" w:line="264" w:lineRule="auto"/>
        <w:rPr>
          <w:sz w:val="20"/>
          <w:szCs w:val="20"/>
          <w:color w:val="auto"/>
        </w:rPr>
      </w:pPr>
      <w:r>
        <w:rPr>
          <w:rFonts w:ascii="Times New Roman" w:cs="Times New Roman" w:eastAsia="Times New Roman" w:hAnsi="Times New Roman"/>
          <w:sz w:val="14"/>
          <w:szCs w:val="14"/>
          <w:color w:val="auto"/>
        </w:rPr>
        <w:t>Our Condensed Consolidated Balance Sheet as of January 31, 2025, and our Condensed Consolidated Statement of Cash Flows for the six months ended January 31, 2025 show a decrease in total cash and cash equivalents from fiscal year-end 2024. The decrease was driven primarily due to the use of cash in investing and financing activities which included capital expenditures, partial payment on our revolving credit facility, dividend payments and treasury stock repurchases. These were partially offset by positive cash flow from operations. Refer to the "Liquidity and Capital Resources" section below for more details.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Split</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9, 2024, the Company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SIX MONTHS ENDED JANUARY 31, 2025 COMPARED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SIX MONTHS ENDED JANUARY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RESULTS</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Consolidated net sales for the six months ended January 31, 2025 were $244.9 million, a 13% increase compared to net sales of $217.1 million for the six months ended January 31, 2024. The increase across both our Business to Business and Retail and Wholesale product groups was primarily driven by a combination of stronger demand for our products, favorable product mix and higher prices.</w:t>
      </w:r>
    </w:p>
    <w:p>
      <w:pPr>
        <w:spacing w:after="0" w:line="3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Consolidated gross profit in the six months ended January 31, 2025 was $75.2 million, an increase of $13.3 million, or 21%, from gross profit of $61.9 million in the six months ended January 31, 2024. Our gross margin (defined as gross profit as a percentage of net sales) in the six months ended January 31, 2025 increased to 30.7% from 28.5% in the six months ended January 31, 2024. This gross margin expansion was mainly driven by volume growth, which led to improved fixed cost coverage, and favorable product mix. Additionally, in the first quarter of fiscal year 2025 we realized production efficiencies at various manufacturing plants which resulted in stronger gross margins for several of our products. However, for the six months ended January 31, 2025 overall domestic per ton cost of goods sold increased 5% compared to the same period of fiscal year 2024. The increase was primarily driven by our product mix across the six months which resulted in higher overall per ton transportation and material costs, which increased 8% and 6%, respectively.</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SG&amp;A expenses of $36.6 million for the six months ended January 31, 2025 were $2.9 million higher, or 9%, compared to $33.6 million for the six months ended January 31, 2024. Corporate unallocated expenses of $17.5 million for the six months ended January 31, 2025, increased $0.5 million, or 3%, as compared to the six months ended January 31, 2024 mainly driven by acquisition-related expenses incurred in the current year as we continue our Ultra Pet integration as well as a strategic investment in data analytics. The remaining increase was driven by SG&amp;A at the operating segments level as discussed below in the discussion of our segments' operating income including SG&amp;A.</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other expenses, net were $2.2 million for the six months ended January 31, 2025 compared to $0.8 million in the same period of fiscal year 2024. The increase was mainly due to higher interest expenses, foreign exchange losses, and lower interest income.</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had tax expense of $7.2 million for the six months ended January 31, 2025 compared to $4.4 million for the six months ended January 31, 2024. This includes $1.4 million driven by a higher estimated annual effective tax rate ("ETR") and another $1.4 million due to higher pre-tax income. For the six months ended January 31, 2025 we used an estimated annual ETR of 20% compared to an ETR of 16%, for the six months ended January 31, 2024. The ETR is based on expected annual taxable income and the assessment of various tax adjustments, including depletion and discrete items.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BUSINESS TO BUSINESS PRODUCTS GROUP</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3"/>
        </w:trPr>
        <w:tc>
          <w:tcPr>
            <w:tcW w:w="4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c>
          <w:tcPr>
            <w:tcW w:w="1480" w:type="dxa"/>
            <w:vAlign w:val="bottom"/>
            <w:tcBorders>
              <w:bottom w:val="single" w:sz="8" w:color="auto"/>
            </w:tcBorders>
          </w:tcPr>
          <w:p>
            <w:pPr>
              <w:spacing w:after="0"/>
              <w:rPr>
                <w:sz w:val="24"/>
                <w:szCs w:val="24"/>
                <w:color w:val="auto"/>
              </w:rPr>
            </w:pPr>
          </w:p>
        </w:tc>
      </w:tr>
      <w:tr>
        <w:trPr>
          <w:trHeight w:val="171"/>
        </w:trPr>
        <w:tc>
          <w:tcPr>
            <w:tcW w:w="4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to Business Products Group</w:t>
            </w:r>
          </w:p>
        </w:tc>
        <w:tc>
          <w:tcPr>
            <w:tcW w:w="30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Agricultural and Horticultural</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20,757</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4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Fluids Purification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57,115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45,115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420" w:type="dxa"/>
            <w:vAlign w:val="bottom"/>
          </w:tcPr>
          <w:p>
            <w:pPr>
              <w:spacing w:after="0"/>
              <w:rPr>
                <w:sz w:val="15"/>
                <w:szCs w:val="15"/>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Animal Health &amp; Nutrition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13,959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91,831</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75,395</w:t>
            </w:r>
          </w:p>
        </w:tc>
        <w:tc>
          <w:tcPr>
            <w:tcW w:w="1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16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3"/>
        </w:trPr>
        <w:tc>
          <w:tcPr>
            <w:tcW w:w="420" w:type="dxa"/>
            <w:vAlign w:val="bottom"/>
          </w:tcPr>
          <w:p>
            <w:pPr>
              <w:spacing w:after="0"/>
              <w:rPr>
                <w:sz w:val="15"/>
                <w:szCs w:val="15"/>
                <w:color w:val="auto"/>
              </w:rPr>
            </w:pPr>
          </w:p>
        </w:tc>
        <w:tc>
          <w:tcPr>
            <w:tcW w:w="42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r>
      <w:tr>
        <w:trPr>
          <w:trHeight w:val="171"/>
        </w:trPr>
        <w:tc>
          <w:tcPr>
            <w:tcW w:w="42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31,432</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Net sales of the Business to Business Products Group for the six months ended January 31, 2025 increased $16.4 million, or 22%, compared to the six months ended January 31, 2024, with growth in all three principal products within this segment. Net sales of our fluids purification products for the six months ended January 31, 2025 increased $12.0 million, or 27%, compared to the six months ended January 31, 2024, primarily driven by growing demand of our products used in renewable diesel filtration in North America and higher prices. Net sales of our animal health &amp; nutrition products for the six months ended January 31, 2025 increased $3.3 million, or 31% compared to the six months ended January 31, 2024, mainly driven by the increase in demand. Net sales of our animal health and nutrition products for the six months ended January 31, 2025 increased compared to the six months ended January 31, 2024 in all regions except for Asia (including China). Net sales in Asia were down due to the sell off of existing inventory that occurred in the first quarter of fiscal year 2024 as we transitioned to a master distributor in China. Net sales of our agricultural and horticultural chemical carrier products for the six months ended January 31, 2025 increased $1.2 million, or 6% compared to the six months ended January 31, 2024 as a result of stronger demand. The stronger demand was primarily due to key customers who resumed purchasing after working through inventory surpluses.</w:t>
      </w:r>
    </w:p>
    <w:p>
      <w:pPr>
        <w:spacing w:after="0" w:line="17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SG&amp;A expenses for the Business to Business Products Group increased by $0.3 million, or 4%, for the six months ended January 31, 2025 compared to the six months ended January 31, 2024. The increase was mainly driven by a preliminary foreign value-added tax ("VAT") assessment recognized in the first quarter, higher research and development costs and marketing spend offset by cost reductions across other general and administrative expenses.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Business to Business Products Group’s operating income for the six months ended January 31, 2025 was $31.4 million, an increase of $9.3 million, or 42%, from operating income of $22.1 million for the six months ended January 31, 2024. The increase in operating income was mostly driven by favorable product mix, increased demand and lower SGA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RETAIL AND WHOLESALE PRODUCTS GROUP</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3"/>
        </w:trPr>
        <w:tc>
          <w:tcPr>
            <w:tcW w:w="4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c>
          <w:tcPr>
            <w:tcW w:w="1480" w:type="dxa"/>
            <w:vAlign w:val="bottom"/>
            <w:tcBorders>
              <w:bottom w:val="single" w:sz="8" w:color="auto"/>
            </w:tcBorders>
          </w:tcPr>
          <w:p>
            <w:pPr>
              <w:spacing w:after="0"/>
              <w:rPr>
                <w:sz w:val="24"/>
                <w:szCs w:val="24"/>
                <w:color w:val="auto"/>
              </w:rPr>
            </w:pPr>
          </w:p>
        </w:tc>
      </w:tr>
      <w:tr>
        <w:trPr>
          <w:trHeight w:val="171"/>
        </w:trPr>
        <w:tc>
          <w:tcPr>
            <w:tcW w:w="4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Retail and Wholesale Products Group</w:t>
            </w:r>
          </w:p>
        </w:tc>
        <w:tc>
          <w:tcPr>
            <w:tcW w:w="30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Cat Litter</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130,913</w:t>
            </w:r>
          </w:p>
        </w:tc>
        <w:tc>
          <w:tcPr>
            <w:tcW w:w="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120,187</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10,726</w:t>
            </w:r>
          </w:p>
        </w:tc>
        <w:tc>
          <w:tcPr>
            <w:tcW w:w="1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4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Industrial and Sports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22,115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6"/>
        </w:trPr>
        <w:tc>
          <w:tcPr>
            <w:tcW w:w="420" w:type="dxa"/>
            <w:vAlign w:val="bottom"/>
          </w:tcPr>
          <w:p>
            <w:pPr>
              <w:spacing w:after="0"/>
              <w:rPr>
                <w:sz w:val="16"/>
                <w:szCs w:val="16"/>
                <w:color w:val="auto"/>
              </w:rPr>
            </w:pPr>
          </w:p>
        </w:tc>
        <w:tc>
          <w:tcPr>
            <w:tcW w:w="4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153,028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141,711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
        </w:trPr>
        <w:tc>
          <w:tcPr>
            <w:tcW w:w="420" w:type="dxa"/>
            <w:vAlign w:val="bottom"/>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20" w:type="dxa"/>
            <w:vAlign w:val="bottom"/>
          </w:tcPr>
          <w:p>
            <w:pPr>
              <w:spacing w:after="0"/>
              <w:rPr>
                <w:sz w:val="13"/>
                <w:szCs w:val="13"/>
                <w:color w:val="auto"/>
              </w:rPr>
            </w:pPr>
          </w:p>
        </w:tc>
        <w:tc>
          <w:tcPr>
            <w:tcW w:w="42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96"/>
        </w:trPr>
        <w:tc>
          <w:tcPr>
            <w:tcW w:w="420" w:type="dxa"/>
            <w:vAlign w:val="bottom"/>
          </w:tcPr>
          <w:p>
            <w:pPr>
              <w:spacing w:after="0"/>
              <w:rPr>
                <w:sz w:val="16"/>
                <w:szCs w:val="16"/>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24,705</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23,208</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0"/>
        </w:trPr>
        <w:tc>
          <w:tcPr>
            <w:tcW w:w="420" w:type="dxa"/>
            <w:vAlign w:val="bottom"/>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sales of the Retail and Wholesale Products Group for the six months ended January 31, 2025 increased $11.3 million, or 8%, compared to the six months ended January 31, 2024, primarily driven by the introduction of crystal cat litter products. Domestic cat litter net sales were $115.6 million for the six months ended January 31, 2025, an increase of $10.3 million, or 10%, when compared to the six months ended January 31, 2024. This increase was primarily driven by $10.4 million of net sales from the introduction of crystal cat litter products. Net sales of co-packaged cat litter products increased 7% in the six months ended January 31, 2025 compared to the six months ended January 31, 2024. This increase was driven primarily by higher prices. Net sales of our domestic industrial and sports products were $20.9 million for the six months ended January 31, 2025, an increase of $0.7 million, or 3%, when compared to six months ended January 31, 2024, mainly driven by the net effect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jc w:val="both"/>
        <w:spacing w:after="0" w:line="287" w:lineRule="auto"/>
        <w:rPr>
          <w:sz w:val="20"/>
          <w:szCs w:val="20"/>
          <w:color w:val="auto"/>
        </w:rPr>
      </w:pPr>
      <w:r>
        <w:rPr>
          <w:rFonts w:ascii="Times New Roman" w:cs="Times New Roman" w:eastAsia="Times New Roman" w:hAnsi="Times New Roman"/>
          <w:sz w:val="14"/>
          <w:szCs w:val="14"/>
          <w:color w:val="auto"/>
        </w:rPr>
        <w:t>of higher pricing to offset elevated costs and new distribution to a national retailer. Net sales by our subsidiary in Canada, which span both our cat litter and industrial products, decreased $0.3 million, as discussed below.</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SG&amp;A expenses for the Retail and Wholesale Products Group were $2.3 million, or an increase of 25% during the six months ended January 31, 2025 compared to the six months ended January 31, 2024, primarily due to higher compensation related costs, amortization of the customer list acquired with Ultra Pet, higher research and development costs, and a credit reserve for several customer bankruptcies. These higher expenses were partially offset by lower advertising expenses. We anticipate total advertising expense in fiscal year 2025 to be lower than fiscal year 2024.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Retail and Wholesale Products Group's operating income for the six months ended January 31, 2025 was $24.7 million, an increase of $1.5 million, or 6%, from operating income of $23.2 million for six months ended January 31, 2024. This was driven primarily by the introduction of crystal cat litter products, partially offset by elevated SG&amp;A expenses, as discussed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OPERATIONS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Foreign operations include our subsidiaries in Canada and Netherlands, which are reported in the Retail and Wholesale Products Group, and our subsidiaries in the United Kingdom ("UK"), Mexico, China and Indonesia, which are reported in the Business to Business Products Group. Net sales by our foreign subsidiaries for the six months ended January 31, 2025, were $10.1 million, a decrease of 12%, compared to net sales of $11.5 million during the six months ended January 31, 2024. The decrease was driven mainly by our subsidiary in China and to a lesser extent Canada, offset by an increase in net sales in Mexico and the UK. Net sales of our subsidiary in China decreased $1.7 million, or 100%, in the six months ended January 31, 2025 compared to the same period of fiscal year 2024 due to a sell-off of all existing inventory to a new master distributor, which occurred in the first quarter of fiscal year 2024. Sales to China are now directly through the Company and not through our subsidiary in China. Total net sales of our subsidiary in Canada decreased $0.3 million, or 4%, in the six months ended January 31, 2025 compared to the six months ended January 31, 2024 with a decrease in net sales across both cat litter and industrial products. Total net sales of our subsidiary in Mexico increased $0.5 million, or 57%, in the six months ended January 31, 2025 compared to the six months ended January 31, 2024 driven primarily by higher demand. Total net sales of our subsidiary in the UK increased $0.1 million, or 9%, in the six months ended January 31, 2025, compared to the six months ended January 31, 2024, due primarily by higher prices. Net sales by our foreign subsidiaries represented 4% and 5% of our consolidated net sales for the six months ended January 31, 2025 and 2024, respectively.</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foreign subsidiaries reported net loss of $0.3 million for the six months ended January 31, 2025, compared to net income of $0.7 million in the six months ended January 31, 2024. The decrease in net income was primarily driven by the decrease in China sales as well as the preliminary foreign VAT assessment recognized in the first quarter.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Identifiable assets of our foreign subsidiaries as of January 31, 2025, were $8.9 million, compared to $8.7 million as of July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THREE MONTHS ENDED JANUARY 31, 2025 COMPARED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THREE MONTHS ENDED JANUARY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RESULTS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Consolidated net sales for the second quarter of fiscal year 2025 were $116.9 million, an 11% increase compared to net sales of $105.7 million for the second quarter of fiscal year 2024. The increase across both our Business to Business and Retail and Wholesale product groups was primarily driven by a combination of favorable product mix and higher prices.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Consolidated gross profit for the second quarter of fiscal year 2025 was $34.4 million, an increase of 11% when compared to $30.9 million for the second quarter of fiscal year 2024. This increase was mainly driven by higher net sales. Our gross margin (defined as gross profit as a percentage of net sales) increased to 29.5% from 29.3% in the second quarter of fiscal year 2025 compared to the second quarter of fiscal 2024. However, our domestic per ton cost of goods sold increased 11%, primarily driven by higher material, transportation and packaging costs. Per ton material costs increased 12% driven primarily by product mix and lower volumes which drove unfavorable fixed cost coverage in the current quarter. Domestic transportation per ton costs increased 14% due to product mix and additional rail car usage to support our growing renewable diesel business. Packaging costs increased 4% driven by underlying commodity prices.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SG&amp;A expenses of $17.0 million for the second quarter of fiscal year 2025 increased by $1.2 million, or 8%, compared to $15.8 million for the same period of fiscal year 2024. Unallocated corporate expenses were $8.2 million, up $0.5 million, 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p>
      <w:pPr>
        <w:jc w:val="both"/>
        <w:spacing w:after="0" w:line="270" w:lineRule="auto"/>
        <w:rPr>
          <w:sz w:val="20"/>
          <w:szCs w:val="20"/>
          <w:color w:val="auto"/>
        </w:rPr>
      </w:pPr>
      <w:r>
        <w:rPr>
          <w:rFonts w:ascii="Times New Roman" w:cs="Times New Roman" w:eastAsia="Times New Roman" w:hAnsi="Times New Roman"/>
          <w:sz w:val="14"/>
          <w:szCs w:val="14"/>
          <w:color w:val="auto"/>
        </w:rPr>
        <w:t>6%, compared to the same period in fiscal year 2024 due to higher anticipated compensation costs, as well as acquisition-related expenses incurred in the second quarter of fiscal year 2025 as we continue our Ultra Pet integration, and a strategic investment in data analytics. The discussion of the segments' operating income below describes the changes in SG&amp;A expenses that were allocated to the operating segments.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net other expense of $1.2 million for the second quarter of fiscal year 2025 increased $0.7 million, compared to $0.5 million in the same period of fiscal year 2024 mainly due to foreign exchange losses, higher interest expense, and lower interest income.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Tax expense was $3.3 million for the second quarter of fiscal year 2025 compared to $2.3 million for the second quarter of fiscal year 2024. The increase includes $0.6 million of the year-over-year increase in tax expense was driven by higher pre-tax income and another $0.4 million was from a higher annual ETR. For the second quarter of fiscal year 2025 we used an estimated ETR of 21% compared to an ETR of 16%, for the second quarter of fiscal year 2024. We adjust our ETR quarterly based on expected annual taxable income and our assessment of various tax adjustments, including depletion and discrete items.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BUSINESS TO BUSINESS PRODUCTS GROUP</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2"/>
        </w:trPr>
        <w:tc>
          <w:tcPr>
            <w:tcW w:w="42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1480" w:type="dxa"/>
            <w:vAlign w:val="bottom"/>
            <w:tcBorders>
              <w:bottom w:val="single" w:sz="8" w:color="auto"/>
            </w:tcBorders>
          </w:tcPr>
          <w:p>
            <w:pPr>
              <w:spacing w:after="0"/>
              <w:rPr>
                <w:sz w:val="17"/>
                <w:szCs w:val="17"/>
                <w:color w:val="auto"/>
              </w:rPr>
            </w:pPr>
          </w:p>
        </w:tc>
      </w:tr>
      <w:tr>
        <w:trPr>
          <w:trHeight w:val="171"/>
        </w:trPr>
        <w:tc>
          <w:tcPr>
            <w:tcW w:w="4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to Business Products Group</w:t>
            </w:r>
          </w:p>
        </w:tc>
        <w:tc>
          <w:tcPr>
            <w:tcW w:w="30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Agricultural and Horticultural</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9,175</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Fluids Purification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26,512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0"/>
        </w:trPr>
        <w:tc>
          <w:tcPr>
            <w:tcW w:w="420" w:type="dxa"/>
            <w:vAlign w:val="bottom"/>
          </w:tcPr>
          <w:p>
            <w:pPr>
              <w:spacing w:after="0"/>
              <w:rPr>
                <w:sz w:val="15"/>
                <w:szCs w:val="15"/>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Animal Health &amp; Nutrition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7,729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43,416</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36,234</w:t>
            </w:r>
          </w:p>
        </w:tc>
        <w:tc>
          <w:tcPr>
            <w:tcW w:w="1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16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3"/>
        </w:trPr>
        <w:tc>
          <w:tcPr>
            <w:tcW w:w="420" w:type="dxa"/>
            <w:vAlign w:val="bottom"/>
          </w:tcPr>
          <w:p>
            <w:pPr>
              <w:spacing w:after="0"/>
              <w:rPr>
                <w:sz w:val="15"/>
                <w:szCs w:val="15"/>
                <w:color w:val="auto"/>
              </w:rPr>
            </w:pPr>
          </w:p>
        </w:tc>
        <w:tc>
          <w:tcPr>
            <w:tcW w:w="42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r>
      <w:tr>
        <w:trPr>
          <w:trHeight w:val="171"/>
        </w:trPr>
        <w:tc>
          <w:tcPr>
            <w:tcW w:w="42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14,322</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10,985</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0"/>
        </w:trPr>
        <w:tc>
          <w:tcPr>
            <w:tcW w:w="4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sales of the Business to Business Products Group increased $7.2 million, or 20%, in the second quarter of fiscal year 2025 compared to the same period in 2024, driven by an increase in net sales of our fluids purification and animal health and nutrition products. Net sales of our fluids purification products in the second quarter of fiscal year 2025 increased $3.8 million, or 17%, compared to the second quarter of fiscal year 2024, primarily due to higher demand of our products used in renewable diesel filtration in the North America region. Net sales of our animal health and nutrition products in the second quarter of fiscal year 2025 increased $3.5 million, or 82%, compared to the second quarter of fiscal year 2024, in all regions primarily driven by higher volume and favorable product mix. Net sales of our agricultural and horticultural chemical carrier products in the second quarter of fiscal year 2025 decreased $0.1 million, or 1%, compared to the second quarter of fiscal year 2024, primarily due to softer volumes.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SG&amp;A expenses for the Business to Business Products Group in the second quarter of fiscal year 2025 decreased $0.5 million, or 12%, compared to the same period of fiscal year 2024. The reduction was mainly driven by a decrease in compensation-related expenses to teammates.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Business to Business Products Group’s operating income for the second quarter of fiscal year 2025 was $14.3 million, an increase of $3.3 million, or 30%, from operating income of $11.0 million for the second quarter of fiscal year 2024. The overall increase in operating income was primarily due to favorable product mix, increased demand and lower SG&amp;A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RETAIL AND WHOLESALE PRODUCTS GROUP</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93"/>
        </w:trPr>
        <w:tc>
          <w:tcPr>
            <w:tcW w:w="4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January 31,</w:t>
            </w:r>
          </w:p>
        </w:tc>
        <w:tc>
          <w:tcPr>
            <w:tcW w:w="14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71"/>
        </w:trPr>
        <w:tc>
          <w:tcPr>
            <w:tcW w:w="4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Retail and Wholesale Products Group</w:t>
            </w:r>
          </w:p>
        </w:tc>
        <w:tc>
          <w:tcPr>
            <w:tcW w:w="30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Pr>
          <w:p>
            <w:pPr>
              <w:spacing w:after="0"/>
              <w:rPr>
                <w:sz w:val="14"/>
                <w:szCs w:val="14"/>
                <w:color w:val="auto"/>
              </w:rPr>
            </w:pPr>
          </w:p>
        </w:tc>
      </w:tr>
      <w:tr>
        <w:trPr>
          <w:trHeight w:val="171"/>
        </w:trPr>
        <w:tc>
          <w:tcPr>
            <w:tcW w:w="42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Cat Litter</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63,237</w:t>
            </w:r>
          </w:p>
        </w:tc>
        <w:tc>
          <w:tcPr>
            <w:tcW w:w="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59,326</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1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00" w:type="dxa"/>
            <w:vAlign w:val="bottom"/>
          </w:tcPr>
          <w:p>
            <w:pPr>
              <w:spacing w:after="0"/>
              <w:rPr>
                <w:sz w:val="14"/>
                <w:szCs w:val="14"/>
                <w:color w:val="auto"/>
              </w:rPr>
            </w:pPr>
          </w:p>
        </w:tc>
      </w:tr>
      <w:tr>
        <w:trPr>
          <w:trHeight w:val="180"/>
        </w:trPr>
        <w:tc>
          <w:tcPr>
            <w:tcW w:w="4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Industrial and Sports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10,261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400" w:type="dxa"/>
            <w:vAlign w:val="bottom"/>
          </w:tcPr>
          <w:p>
            <w:pPr>
              <w:spacing w:after="0"/>
              <w:rPr>
                <w:sz w:val="15"/>
                <w:szCs w:val="15"/>
                <w:color w:val="auto"/>
              </w:rPr>
            </w:pPr>
          </w:p>
        </w:tc>
      </w:tr>
      <w:tr>
        <w:trPr>
          <w:trHeight w:val="196"/>
        </w:trPr>
        <w:tc>
          <w:tcPr>
            <w:tcW w:w="420" w:type="dxa"/>
            <w:vAlign w:val="bottom"/>
          </w:tcPr>
          <w:p>
            <w:pPr>
              <w:spacing w:after="0"/>
              <w:rPr>
                <w:sz w:val="16"/>
                <w:szCs w:val="16"/>
                <w:color w:val="auto"/>
              </w:rPr>
            </w:pPr>
          </w:p>
        </w:tc>
        <w:tc>
          <w:tcPr>
            <w:tcW w:w="4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73,498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4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3"/>
        </w:trPr>
        <w:tc>
          <w:tcPr>
            <w:tcW w:w="420" w:type="dxa"/>
            <w:vAlign w:val="bottom"/>
          </w:tcPr>
          <w:p>
            <w:pPr>
              <w:spacing w:after="0"/>
              <w:rPr>
                <w:sz w:val="13"/>
                <w:szCs w:val="13"/>
                <w:color w:val="auto"/>
              </w:rPr>
            </w:pPr>
          </w:p>
        </w:tc>
        <w:tc>
          <w:tcPr>
            <w:tcW w:w="42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r>
      <w:tr>
        <w:trPr>
          <w:trHeight w:val="196"/>
        </w:trPr>
        <w:tc>
          <w:tcPr>
            <w:tcW w:w="420" w:type="dxa"/>
            <w:vAlign w:val="bottom"/>
          </w:tcPr>
          <w:p>
            <w:pPr>
              <w:spacing w:after="0"/>
              <w:rPr>
                <w:sz w:val="16"/>
                <w:szCs w:val="16"/>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11,328</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11,877</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21"/>
        </w:trPr>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42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14"/>
          <w:szCs w:val="14"/>
          <w:color w:val="auto"/>
        </w:rPr>
        <w:t>Net sales of the Retail and Wholesale Products Group increased $4.1 million, or 6%, in the second quarter of fiscal year 2025 compared to the same period in 2024, driven primarily by the introduction of crystal cat litter products. Domestic cat litter net sales were $55.8 million, an increase of $5.5 million, or 11%, when compared to the second quarter of fiscal year 2024. This increase was driven by $4.4 million of net sales from the introduction of crystal cat litter products and favorable product mix within our clay-based cat litter products. Net sales of co-packaged cat litter products decreased 25% compared to the second quarter of fiscal year 2024. This decrease was driven by a reduction in volume, as second quarter 2024 experienced higher sales as a result of first quarter sales shifting to second quarter due to a cyberattack on one of our customers, which prevented it from placing and receiving orders during the first quarter of fiscal year 2024. Net sales of our domestic industrial and sports products in the second quarter of fiscal year 2025 were $9.8 million, an increase of $0.3 million, or 3%, when compared to the second quarter of fiscal year 2024, mainly driven by the net effect of higher pricing to offset elevated costs and new distribution to a national retailer. Net sales by our subsidiary in Canada, which include both our cat litter and industrial products, in the second quarter of fiscal year 2025 decreased $0.2 million, or 6%, compared to the same period in 2024, as discussed below.</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SG&amp;A expenses for the Retail and Wholesale Products Group increased by $1.2 million, or 30%, during the second quarter of fiscal year 2025 compared to the same period in fiscal year 2024. The increase was primarily driven by an increase in compensation-related expenses, advertising spend and amortization of the recently acquired customer list. We anticipate total advertising expense in fiscal year 2025 to be lower than fiscal year 2024.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Retail and Wholesale Products Group's operating income was $11.3 million for the second quarter of fiscal year 2025, a decrease of $0.5 million from operating income of $11.9 million for the same period of fiscal year 2024. This was driven primarily by higher operating costs which offset the increase in net sales in the quarter.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OPERATIONS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second quarter of fiscal year 2025 were $4.9 million, an increase of $0.4 million, or 10%, compared to net sales of $4.5 million during the same period of fiscal year 2024, driven primarily by increases in net sales in Mexico and the UK, offset by lower sales in Canada. Net sales of our animal health and nutrition products by our subsidiary in Mexico during the second quarter of fiscal year 2025 increased $0.5 million, or 176%, compared to fiscal year 2024, due to higher volume. Net sales of our fluids purification products by our subsidiary in the UK during the second quarter of fiscal year 2025 increased $0.2 million, or 22%, compared to the same period in fiscal year 2024, primarily due to higher demand. Net sales by our subsidiary in Canada decreased $0.2 million, or 6%, driven by softer volumes across both cat litter and industrial products. Net sales by our foreign subsidiaries represented 4% of our consolidated net sales during the second quarter of both fiscal years 2025 and 2024.</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foreign subsidiaries reported a net loss of $0.1 million for the second quarter of fiscal year 2025 compared to a net income of $0.1 million in the second quarter of fiscal year 2024. This was mainly driven by the decrease in sales in Canada.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 AND CAPITAL RESOURCES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six months ended January 31, 2025, we principally funded these short and long-term capital requirements using cash from current operations as well as cash generated from previous borrowings under our Series B, C and D Senior Notes and Credit Agreement. On September 30, 2024, we amended the Credit Agreement to, among other things, increase our line of credit from $45 million to $75 million, providing more financial flexibility. See Note 8 of the Notes to the unaudited Condensed Consolidated Financial Statements in this Quarterly Report on Form 10-Q for further information relating to our existing borrowings.</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4"/>
          <w:szCs w:val="14"/>
          <w:color w:val="auto"/>
        </w:rPr>
        <w:t>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elements of our unaudited Condensed Consolidated Statements of Cash Flows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Six Months Ended January 31,</w:t>
            </w:r>
          </w:p>
        </w:tc>
      </w:tr>
      <w:tr>
        <w:trPr>
          <w:trHeight w:val="171"/>
        </w:trPr>
        <w:tc>
          <w:tcPr>
            <w:tcW w:w="6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17,945</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(15,546)</w:t>
            </w: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w:t>
            </w:r>
          </w:p>
        </w:tc>
      </w:tr>
      <w:tr>
        <w:trPr>
          <w:trHeight w:val="18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111</w:t>
            </w: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operating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net income, as adjusted for depreciation and amortization and other non-cash operating activities, the primary sources and uses of operating cash flows for the six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31, 2025 were as follows: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Accounts receivable, net of allowances increased by $4.4 million in the six months ended January 31, 2025, as compared to the six months ended January 31, 2024. The increase in accounts receivable was driven primarily by higher net sales, offset by the level and timing of collections due to payment terms.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Inventory increased by $1.4 million in the six months ended January 31, 2025, as compared to the six months ended January 31, 2024, mainly due to the building of finished goods inventory to meet anticipated demand.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decreased by $1.0 million in the six months ended January 31, 2025, as compared to the six months ended January 31, 2024, mainly due to the timing of tax and insurance payments.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Excluding the impact of payments related to capital expenditures, accounts payable increased by $2.0 million in the six months ended January 31, 2025, as compared to the six months ended January 31, 2024. The increase was mainly due to the timing of payments, cost of goods and services we purchase, production volume levels and vendor payment terms. In the six months ended January 31, 2025 there was a $2.8 million decrease as compared to the six months ended January 31, 2024 in accounts payable related to capital expenditures recognized as cash used in investing activities.</w:t>
      </w: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Excluding the impact of payments made related to capital expenditures, accrued expenses decreased $8.4 million in the six months ended January 31, 2025, as compared to the six months ended January 31, 2024. The decrease was mainly due to the payout of annual bonuses and taxes, and other miscellaneous expenses which fluctuate due to timing of payments, changes in the cost of goods and services we purchase, production volume levels, and vendor payment terms, including freight. In the six months ended January 31, 2025 there was a $5.0 million decrease as compared to the six months ended January 31, 2024 in accrued expenses related to capital expenditures recognized as cash used in investing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of $17.9 million in the six months ended January 31, 2025 was driven by capital expenditures. During the six months ended January 31, 2025, we continued to expand our plant equipment and improve our facilities to support increased demand for our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color w:val="auto"/>
        </w:rPr>
        <w:t>Net cash used in financing activities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used in financing activities of $16.4 million in the six months ended January 31, 2025 was primarily driven by a $10 million payment of our borrowings under the Credit Agreement, as well as cash used for dividend payments and treasury stock repurchases.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cash balances held by our foreign subsidiaries of $4.7 million as of January 31, 2025 increased $0.2 million compared to $4.5 million as of July 31, 2024. See further discussion in "Foreign Operations" above.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January 31, 2025, we had remaining authority to repurchase 364,483 shares of Common Stock and 244,113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CRITICAL ACCOUNTING POLICIES AND ESTIMATES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has been no material change in our exposure to market risk from that discussed in our Quarterly Report on Form 10-Q for the fiscal quarter ended October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 13a-15(f) under the Exchange Act) that occurred during the fiscal quarter ended January 31, 2025 that have materially affected, or are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Items 1, 3, and 5 of this Part II are either inapplicable or are answered in the negative and are omitted pursuant to the instructions to Part II of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operations and financial results are subject to various risks and uncertainties, including those described in Part I, Item 1A, "Risk Factors," of our Annual Report on Form 10-K for the fiscal year ended July 31, 2024. There have been no material changes to our risk factors since our Annual Report on Form 10-K for the fiscal year ended July 31,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January 31, 2025, we did not sell any equity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r>
        <w:rPr>
          <w:rFonts w:ascii="Times New Roman" w:cs="Times New Roman" w:eastAsia="Times New Roman" w:hAnsi="Times New Roman"/>
          <w:sz w:val="18"/>
          <w:szCs w:val="18"/>
          <w:b w:val="1"/>
          <w:bCs w:val="1"/>
          <w:color w:val="auto"/>
          <w:vertAlign w:val="superscript"/>
        </w:rPr>
        <w:t>1, 2</w:t>
      </w:r>
    </w:p>
    <w:tbl>
      <w:tblPr>
        <w:tblLayout w:type="fixed"/>
        <w:tblInd w:w="0" w:type="dxa"/>
        <w:tblCellMar>
          <w:top w:w="0" w:type="dxa"/>
          <w:left w:w="0" w:type="dxa"/>
          <w:bottom w:w="0" w:type="dxa"/>
          <w:right w:w="0" w:type="dxa"/>
        </w:tblCellMar>
      </w:tblPr>
      <w:tr>
        <w:trPr>
          <w:trHeight w:val="165"/>
        </w:trPr>
        <w:tc>
          <w:tcPr>
            <w:tcW w:w="218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320" w:type="dxa"/>
            <w:vAlign w:val="bottom"/>
            <w:tcBorders>
              <w:top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440" w:type="dxa"/>
            <w:vAlign w:val="bottom"/>
            <w:tcBorders>
              <w:top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(c)</w:t>
            </w:r>
          </w:p>
        </w:tc>
        <w:tc>
          <w:tcPr>
            <w:tcW w:w="2240" w:type="dxa"/>
            <w:vAlign w:val="bottom"/>
            <w:tcBorders>
              <w:top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320" w:type="dxa"/>
            <w:vAlign w:val="bottom"/>
          </w:tcPr>
          <w:p>
            <w:pPr>
              <w:spacing w:after="0"/>
              <w:rPr>
                <w:sz w:val="12"/>
                <w:szCs w:val="12"/>
                <w:color w:val="auto"/>
              </w:rPr>
            </w:pPr>
          </w:p>
        </w:tc>
        <w:tc>
          <w:tcPr>
            <w:tcW w:w="2440" w:type="dxa"/>
            <w:vAlign w:val="bottom"/>
          </w:tcPr>
          <w:p>
            <w:pPr>
              <w:jc w:val="center"/>
              <w:ind w:left="9"/>
              <w:spacing w:after="0" w:line="144" w:lineRule="exact"/>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40" w:type="dxa"/>
            <w:vAlign w:val="bottom"/>
          </w:tcPr>
          <w:p>
            <w:pPr>
              <w:jc w:val="center"/>
              <w:ind w:left="9"/>
              <w:spacing w:after="0" w:line="144" w:lineRule="exact"/>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38"/>
        </w:trPr>
        <w:tc>
          <w:tcPr>
            <w:tcW w:w="21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00" w:type="dxa"/>
            <w:vAlign w:val="bottom"/>
            <w:vMerge w:val="continue"/>
          </w:tcPr>
          <w:p>
            <w:pPr>
              <w:spacing w:after="0"/>
              <w:rPr>
                <w:sz w:val="11"/>
                <w:szCs w:val="11"/>
                <w:color w:val="auto"/>
              </w:rPr>
            </w:pPr>
          </w:p>
        </w:tc>
        <w:tc>
          <w:tcPr>
            <w:tcW w:w="2320" w:type="dxa"/>
            <w:vAlign w:val="bottom"/>
            <w:vMerge w:val="restart"/>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440" w:type="dxa"/>
            <w:vAlign w:val="bottom"/>
          </w:tcPr>
          <w:p>
            <w:pPr>
              <w:jc w:val="center"/>
              <w:ind w:left="9"/>
              <w:spacing w:after="0" w:line="138"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240" w:type="dxa"/>
            <w:vAlign w:val="bottom"/>
          </w:tcPr>
          <w:p>
            <w:pPr>
              <w:jc w:val="center"/>
              <w:ind w:left="29"/>
              <w:spacing w:after="0" w:line="138" w:lineRule="exact"/>
              <w:rPr>
                <w:sz w:val="20"/>
                <w:szCs w:val="20"/>
                <w:color w:val="auto"/>
              </w:rPr>
            </w:pPr>
            <w:r>
              <w:rPr>
                <w:rFonts w:ascii="Times New Roman" w:cs="Times New Roman" w:eastAsia="Times New Roman" w:hAnsi="Times New Roman"/>
                <w:sz w:val="14"/>
                <w:szCs w:val="14"/>
                <w:b w:val="1"/>
                <w:bCs w:val="1"/>
                <w:color w:val="auto"/>
              </w:rPr>
              <w:t>may yet be Purchased Under Plans</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3</w:t>
            </w:r>
          </w:p>
        </w:tc>
        <w:tc>
          <w:tcPr>
            <w:tcW w:w="232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2240" w:type="dxa"/>
            <w:vAlign w:val="bottom"/>
            <w:tcBorders>
              <w:bottom w:val="single" w:sz="8" w:color="auto"/>
            </w:tcBorders>
          </w:tcPr>
          <w:p>
            <w:pPr>
              <w:jc w:val="center"/>
              <w:ind w:left="29"/>
              <w:spacing w:after="0" w:line="191" w:lineRule="exact"/>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November 1, 2024 to November</w:t>
            </w:r>
          </w:p>
        </w:tc>
        <w:tc>
          <w:tcPr>
            <w:tcW w:w="21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30, 2024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3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5"/>
              </w:rPr>
              <w:t>$—</w:t>
            </w:r>
          </w:p>
        </w:tc>
        <w:tc>
          <w:tcPr>
            <w:tcW w:w="24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368,902</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December 1, 2024 to December</w:t>
            </w:r>
          </w:p>
        </w:tc>
        <w:tc>
          <w:tcPr>
            <w:tcW w:w="21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31, 2024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32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5"/>
              </w:rPr>
              <w:t>$—</w:t>
            </w:r>
          </w:p>
        </w:tc>
        <w:tc>
          <w:tcPr>
            <w:tcW w:w="24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368,902</w:t>
            </w:r>
          </w:p>
        </w:tc>
        <w:tc>
          <w:tcPr>
            <w:tcW w:w="0" w:type="dxa"/>
            <w:vAlign w:val="bottom"/>
          </w:tcPr>
          <w:p>
            <w:pPr>
              <w:spacing w:after="0"/>
              <w:rPr>
                <w:sz w:val="1"/>
                <w:szCs w:val="1"/>
                <w:color w:val="auto"/>
              </w:rPr>
            </w:pPr>
          </w:p>
        </w:tc>
      </w:tr>
      <w:tr>
        <w:trPr>
          <w:trHeight w:val="138"/>
        </w:trPr>
        <w:tc>
          <w:tcPr>
            <w:tcW w:w="21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January 1, 2025 to January 31,</w:t>
            </w:r>
          </w:p>
        </w:tc>
        <w:tc>
          <w:tcPr>
            <w:tcW w:w="2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4,419</w:t>
            </w:r>
          </w:p>
        </w:tc>
        <w:tc>
          <w:tcPr>
            <w:tcW w:w="232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rPr>
              <w:t>$43.71</w:t>
            </w:r>
          </w:p>
        </w:tc>
        <w:tc>
          <w:tcPr>
            <w:tcW w:w="244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bottom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364,483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
        <w:spacing w:after="0" w:line="241" w:lineRule="auto"/>
        <w:tabs>
          <w:tab w:leader="none" w:pos="69"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table summarizes repurchases of (and remaining authority to repurchase) shares of our Common Stock. There have been no repurchases of Class B Stock for the three months ended January 31, 2025, and the authorized Class B Stock is not included in the table above. 244,113 shares of Class B Stock remain authorized for repurchases as of January 31, 2025. No shares of our Class A Common Stock are currently outstanding. Descriptions of our Common Stock, Class B Stock and Class A Common Stock are contained in Exhibit 4.1 of our Annual Report on Form 10-K for the fiscal year ended July 31, 2024.</w:t>
      </w:r>
    </w:p>
    <w:p>
      <w:pPr>
        <w:spacing w:after="0" w:line="177" w:lineRule="exact"/>
        <w:rPr>
          <w:sz w:val="20"/>
          <w:szCs w:val="20"/>
          <w:color w:val="auto"/>
        </w:rPr>
      </w:pPr>
    </w:p>
    <w:p>
      <w:pPr>
        <w:ind w:firstLine="5"/>
        <w:spacing w:after="0" w:line="230" w:lineRule="auto"/>
        <w:tabs>
          <w:tab w:leader="none" w:pos="7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figures in the table reflect transactions according to the settlement dates. For purposes of our unaudited Condensed Consolidated Financial Statements included in this report, the impact of repurchases are recorded according to the settlement dates.</w:t>
      </w:r>
    </w:p>
    <w:p>
      <w:pPr>
        <w:spacing w:after="0" w:line="155" w:lineRule="exact"/>
        <w:rPr>
          <w:sz w:val="20"/>
          <w:szCs w:val="20"/>
          <w:color w:val="auto"/>
        </w:rPr>
      </w:pPr>
    </w:p>
    <w:p>
      <w:pPr>
        <w:ind w:left="80" w:hanging="75"/>
        <w:spacing w:after="0"/>
        <w:tabs>
          <w:tab w:leader="none" w:pos="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purchased shares were surrendered by employees to pay taxes related to restricted stock awards.</w:t>
      </w:r>
    </w:p>
    <w:p>
      <w:pPr>
        <w:spacing w:after="0" w:line="177" w:lineRule="exact"/>
        <w:rPr>
          <w:sz w:val="20"/>
          <w:szCs w:val="20"/>
          <w:color w:val="auto"/>
        </w:rPr>
      </w:pPr>
    </w:p>
    <w:p>
      <w:pPr>
        <w:jc w:val="both"/>
        <w:ind w:firstLine="5"/>
        <w:spacing w:after="0" w:line="237" w:lineRule="auto"/>
        <w:tabs>
          <w:tab w:leader="none" w:pos="69"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Board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79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3300" w:type="dxa"/>
            <w:vAlign w:val="bottom"/>
          </w:tcPr>
          <w:p>
            <w:pPr>
              <w:spacing w:after="0"/>
              <w:rPr>
                <w:sz w:val="16"/>
                <w:szCs w:val="16"/>
                <w:color w:val="auto"/>
              </w:rPr>
            </w:pPr>
          </w:p>
        </w:tc>
      </w:tr>
      <w:tr>
        <w:trPr>
          <w:trHeight w:val="160"/>
        </w:trPr>
        <w:tc>
          <w:tcPr>
            <w:tcW w:w="1080" w:type="dxa"/>
            <w:vAlign w:val="bottom"/>
            <w:gridSpan w:val="2"/>
          </w:tcPr>
          <w:p>
            <w:pPr>
              <w:ind w:left="280"/>
              <w:spacing w:after="0" w:line="159" w:lineRule="exact"/>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91"/>
        </w:trPr>
        <w:tc>
          <w:tcPr>
            <w:tcW w:w="9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4"/>
          </w:tcPr>
          <w:p>
            <w:pPr>
              <w:ind w:left="1640"/>
              <w:spacing w:after="0"/>
              <w:rPr>
                <w:sz w:val="20"/>
                <w:szCs w:val="20"/>
                <w:color w:val="auto"/>
              </w:rPr>
            </w:pPr>
            <w:r>
              <w:rPr>
                <w:rFonts w:ascii="Times New Roman" w:cs="Times New Roman" w:eastAsia="Times New Roman" w:hAnsi="Times New Roman"/>
                <w:sz w:val="14"/>
                <w:szCs w:val="14"/>
                <w:color w:val="auto"/>
              </w:rPr>
              <w:t>Description</w:t>
            </w:r>
          </w:p>
        </w:tc>
        <w:tc>
          <w:tcPr>
            <w:tcW w:w="100" w:type="dxa"/>
            <w:vAlign w:val="bottom"/>
          </w:tcPr>
          <w:p>
            <w:pPr>
              <w:spacing w:after="0"/>
              <w:rPr>
                <w:sz w:val="16"/>
                <w:szCs w:val="16"/>
                <w:color w:val="auto"/>
              </w:rPr>
            </w:pPr>
          </w:p>
        </w:tc>
        <w:tc>
          <w:tcPr>
            <w:tcW w:w="33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SEC Document Reference</w:t>
            </w: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Certificate of Incorporation of Oil-Dri Corporation of America, as amended on December 11, 2024.</w:t>
            </w:r>
          </w:p>
        </w:tc>
        <w:tc>
          <w:tcPr>
            <w:tcW w:w="1200" w:type="dxa"/>
            <w:vAlign w:val="bottom"/>
            <w:gridSpan w:val="4"/>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Certifications pursuant to Rule 13a–14(a) or Rule 15d-14(a) under the Securities Exchange Act of 1934, as amended.</w:t>
            </w:r>
          </w:p>
        </w:tc>
        <w:tc>
          <w:tcPr>
            <w:tcW w:w="220" w:type="dxa"/>
            <w:vAlign w:val="bottom"/>
            <w:gridSpan w:val="3"/>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0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Certifications pursuant to 18 U.S.C. Section 1350 as adopted pursuant to Section 906 of the Sarbanes-Oxley Act of</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Borders>
              <w:top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2002.</w:t>
            </w:r>
          </w:p>
        </w:tc>
        <w:tc>
          <w:tcPr>
            <w:tcW w:w="426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00" w:type="dxa"/>
            <w:vAlign w:val="bottom"/>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1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Mine Safety Disclosures</w:t>
            </w:r>
            <w:r>
              <w:rPr>
                <w:rFonts w:ascii="Times New Roman" w:cs="Times New Roman" w:eastAsia="Times New Roman" w:hAnsi="Times New Roman"/>
                <w:sz w:val="14"/>
                <w:szCs w:val="14"/>
                <w:color w:val="000000"/>
              </w:rPr>
              <w:t>.</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3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20"/>
                <w:szCs w:val="20"/>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2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9"/>
                <w:szCs w:val="19"/>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2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9"/>
                <w:szCs w:val="19"/>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2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9"/>
                <w:szCs w:val="19"/>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2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9"/>
                <w:szCs w:val="19"/>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2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Filed herewith.</w:t>
            </w: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auto"/>
        </w:rPr>
        <w:t>SIGNATURES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OIL-DRI CORPORATION OF AMERICA</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(Registrant)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-4445</wp:posOffset>
            </wp:positionV>
            <wp:extent cx="12604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0475" cy="698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Daniel S. Jaffee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-4445</wp:posOffset>
            </wp:positionV>
            <wp:extent cx="120967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9675" cy="698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Susan M. Kreh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11, 2025</w:t>
      </w: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380"/>
          </w:cols>
          <w:pgMar w:left="560" w:top="730" w:right="95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color w:val="auto"/>
        </w:rPr>
        <w:t>Exhibit 31: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RULE 13A-14(A)/15D-14(A) UNDER THE SECURITIES EXCHANGE ACT OF 1934, AS AMENDED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00" w:lineRule="exact"/>
        <w:rPr>
          <w:sz w:val="20"/>
          <w:szCs w:val="20"/>
          <w:color w:val="auto"/>
        </w:rPr>
      </w:pPr>
    </w:p>
    <w:p>
      <w:pPr>
        <w:spacing w:after="0" w:line="240"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Daniel S. Jaffee, certify that:</w:t>
      </w:r>
    </w:p>
    <w:p>
      <w:pPr>
        <w:spacing w:after="0" w:line="136"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Oil-Dri Corporation of America (the “registrant”);</w:t>
      </w:r>
    </w:p>
    <w:p>
      <w:pPr>
        <w:spacing w:after="0" w:line="136" w:lineRule="exact"/>
        <w:rPr>
          <w:rFonts w:ascii="Times New Roman" w:cs="Times New Roman" w:eastAsia="Times New Roman" w:hAnsi="Times New Roman"/>
          <w:sz w:val="14"/>
          <w:szCs w:val="14"/>
          <w:color w:val="auto"/>
        </w:rPr>
      </w:pPr>
    </w:p>
    <w:p>
      <w:pPr>
        <w:ind w:left="1020" w:hanging="251"/>
        <w:spacing w:after="0" w:line="287" w:lineRule="auto"/>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1020" w:hanging="251"/>
        <w:spacing w:after="0" w:line="287" w:lineRule="auto"/>
        <w:tabs>
          <w:tab w:leader="none" w:pos="1012"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4"/>
          <w:szCs w:val="14"/>
          <w:color w:val="auto"/>
        </w:rPr>
      </w:pPr>
    </w:p>
    <w:p>
      <w:pPr>
        <w:jc w:val="both"/>
        <w:ind w:left="1540" w:hanging="336"/>
        <w:spacing w:after="0" w:line="270" w:lineRule="auto"/>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540" w:hanging="376"/>
        <w:spacing w:after="0" w:line="270" w:lineRule="auto"/>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540" w:hanging="415"/>
        <w:spacing w:after="0" w:line="287" w:lineRule="auto"/>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jc w:val="both"/>
        <w:ind w:left="1540" w:hanging="407"/>
        <w:spacing w:after="0" w:line="270" w:lineRule="auto"/>
        <w:tabs>
          <w:tab w:leader="none" w:pos="1531"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4"/>
          <w:szCs w:val="14"/>
          <w:color w:val="auto"/>
        </w:rPr>
      </w:pPr>
    </w:p>
    <w:p>
      <w:pPr>
        <w:ind w:left="1020" w:hanging="251"/>
        <w:spacing w:after="0" w:line="287" w:lineRule="auto"/>
        <w:tabs>
          <w:tab w:leader="none" w:pos="1012"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540" w:hanging="336"/>
        <w:spacing w:after="0" w:line="287" w:lineRule="auto"/>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540" w:hanging="376"/>
        <w:spacing w:after="0"/>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11, 2025</w:t>
            </w:r>
          </w:p>
        </w:tc>
      </w:tr>
      <w:tr>
        <w:trPr>
          <w:trHeight w:val="17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S. Jaffee</w:t>
            </w:r>
          </w:p>
        </w:tc>
      </w:tr>
      <w:tr>
        <w:trPr>
          <w:trHeight w:val="135"/>
        </w:trPr>
        <w:tc>
          <w:tcPr>
            <w:tcW w:w="88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Daniel S. Jaffee</w:t>
            </w:r>
          </w:p>
        </w:tc>
      </w:tr>
      <w:tr>
        <w:trPr>
          <w:trHeight w:val="184"/>
        </w:trPr>
        <w:tc>
          <w:tcPr>
            <w:tcW w:w="88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73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color w:val="auto"/>
        </w:rPr>
        <w:t>Exhibit 31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a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00" w:lineRule="exact"/>
        <w:rPr>
          <w:sz w:val="20"/>
          <w:szCs w:val="20"/>
          <w:color w:val="auto"/>
        </w:rPr>
      </w:pPr>
    </w:p>
    <w:p>
      <w:pPr>
        <w:spacing w:after="0" w:line="240"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Susan M. Kreh, certify that:</w:t>
      </w:r>
    </w:p>
    <w:p>
      <w:pPr>
        <w:spacing w:after="0" w:line="136"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Oil-Dri Corporation of America (the “registrant”);</w:t>
      </w:r>
    </w:p>
    <w:p>
      <w:pPr>
        <w:spacing w:after="0" w:line="136" w:lineRule="exact"/>
        <w:rPr>
          <w:rFonts w:ascii="Times New Roman" w:cs="Times New Roman" w:eastAsia="Times New Roman" w:hAnsi="Times New Roman"/>
          <w:sz w:val="14"/>
          <w:szCs w:val="14"/>
          <w:color w:val="auto"/>
        </w:rPr>
      </w:pPr>
    </w:p>
    <w:p>
      <w:pPr>
        <w:ind w:left="1020" w:hanging="251"/>
        <w:spacing w:after="0" w:line="287" w:lineRule="auto"/>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1020" w:hanging="251"/>
        <w:spacing w:after="0" w:line="287" w:lineRule="auto"/>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4"/>
          <w:szCs w:val="14"/>
          <w:color w:val="auto"/>
        </w:rPr>
      </w:pPr>
    </w:p>
    <w:p>
      <w:pPr>
        <w:jc w:val="both"/>
        <w:ind w:left="1540" w:hanging="262"/>
        <w:spacing w:after="0" w:line="270" w:lineRule="auto"/>
        <w:tabs>
          <w:tab w:leader="none" w:pos="1532"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540" w:hanging="262"/>
        <w:spacing w:after="0" w:line="270" w:lineRule="auto"/>
        <w:tabs>
          <w:tab w:leader="none" w:pos="154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540" w:hanging="262"/>
        <w:spacing w:after="0" w:line="287" w:lineRule="auto"/>
        <w:tabs>
          <w:tab w:leader="none" w:pos="1532"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jc w:val="both"/>
        <w:ind w:left="1540" w:hanging="262"/>
        <w:spacing w:after="0" w:line="270" w:lineRule="auto"/>
        <w:tabs>
          <w:tab w:leader="none" w:pos="154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4"/>
          <w:szCs w:val="14"/>
          <w:color w:val="auto"/>
        </w:rPr>
      </w:pPr>
    </w:p>
    <w:p>
      <w:pPr>
        <w:ind w:left="1020" w:hanging="251"/>
        <w:spacing w:after="0" w:line="287" w:lineRule="auto"/>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540" w:hanging="262"/>
        <w:spacing w:after="0" w:line="287" w:lineRule="auto"/>
        <w:tabs>
          <w:tab w:leader="none" w:pos="1532"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540" w:hanging="262"/>
        <w:spacing w:after="0"/>
        <w:tabs>
          <w:tab w:leader="none" w:pos="154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11, 2025</w:t>
            </w:r>
          </w:p>
        </w:tc>
      </w:tr>
      <w:tr>
        <w:trPr>
          <w:trHeight w:val="17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Susan M. Kreh</w:t>
            </w:r>
          </w:p>
        </w:tc>
      </w:tr>
      <w:tr>
        <w:trPr>
          <w:trHeight w:val="129"/>
        </w:trPr>
        <w:tc>
          <w:tcPr>
            <w:tcW w:w="900" w:type="dxa"/>
            <w:vAlign w:val="bottom"/>
          </w:tcPr>
          <w:p>
            <w:pPr>
              <w:spacing w:after="0"/>
              <w:rPr>
                <w:sz w:val="11"/>
                <w:szCs w:val="11"/>
                <w:color w:val="auto"/>
              </w:rPr>
            </w:pPr>
          </w:p>
        </w:tc>
        <w:tc>
          <w:tcPr>
            <w:tcW w:w="49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Susan M. Kreh</w:t>
            </w:r>
          </w:p>
        </w:tc>
      </w:tr>
      <w:tr>
        <w:trPr>
          <w:trHeight w:val="184"/>
        </w:trPr>
        <w:tc>
          <w:tcPr>
            <w:tcW w:w="900" w:type="dxa"/>
            <w:vAlign w:val="bottom"/>
          </w:tcPr>
          <w:p>
            <w:pPr>
              <w:spacing w:after="0"/>
              <w:rPr>
                <w:sz w:val="16"/>
                <w:szCs w:val="16"/>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7"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color w:val="auto"/>
        </w:rPr>
        <w:t>Exhibit 32: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 CERTIFICATION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January 31,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March 11,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979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Name: Daniel S. Jaffee</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Chairman, President and Chief Executive Officer</w:t>
      </w:r>
    </w:p>
    <w:p>
      <w:pPr>
        <w:spacing w:after="0" w:line="2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January 31,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March 11,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979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Name: Susan M. Kreh</w:t>
      </w:r>
    </w:p>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92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color w:val="auto"/>
        </w:rPr>
        <w:t>Exhibit 95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MINE SAFETY DISCLOSURES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67"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Total Dollar Value of Proposed MSHA Assessments: Each issuance of a citation or order by MSHA results in the assessment of a monetary penalty. The total dollar value presented includes any contested penalties.</w:t>
      </w:r>
    </w:p>
    <w:p>
      <w:pPr>
        <w:spacing w:after="0" w:line="145" w:lineRule="exact"/>
        <w:rPr>
          <w:sz w:val="20"/>
          <w:szCs w:val="20"/>
          <w:color w:val="auto"/>
        </w:rPr>
      </w:pPr>
    </w:p>
    <w:p>
      <w:pPr>
        <w:ind w:left="100"/>
        <w:spacing w:after="0" w:line="287" w:lineRule="auto"/>
        <w:rPr>
          <w:sz w:val="20"/>
          <w:szCs w:val="20"/>
          <w:color w:val="auto"/>
        </w:rPr>
      </w:pPr>
      <w:r>
        <w:rPr>
          <w:rFonts w:ascii="Times New Roman" w:cs="Times New Roman" w:eastAsia="Times New Roman" w:hAnsi="Times New Roman"/>
          <w:sz w:val="14"/>
          <w:szCs w:val="14"/>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Legal Actions</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color w:val="auto"/>
              </w:rPr>
              <w:t>Section 104</w:t>
            </w:r>
          </w:p>
        </w:tc>
        <w:tc>
          <w:tcPr>
            <w:tcW w:w="86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104(d)</w:t>
            </w:r>
          </w:p>
        </w:tc>
        <w:tc>
          <w:tcPr>
            <w:tcW w:w="110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107(a)</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Total Dollar Value of</w:t>
            </w:r>
          </w:p>
        </w:tc>
        <w:tc>
          <w:tcPr>
            <w:tcW w:w="80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Pending as of</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“Significant and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104(b)</w:t>
            </w:r>
          </w:p>
        </w:tc>
        <w:tc>
          <w:tcPr>
            <w:tcW w:w="9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Section 110(b)(2)</w:t>
            </w:r>
          </w:p>
        </w:tc>
        <w:tc>
          <w:tcPr>
            <w:tcW w:w="9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Mining Related</w:t>
            </w:r>
          </w:p>
        </w:tc>
        <w:tc>
          <w:tcPr>
            <w:tcW w:w="76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Initiated During</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Resolved During</w:t>
            </w:r>
          </w:p>
        </w:tc>
        <w:tc>
          <w:tcPr>
            <w:tcW w:w="0" w:type="dxa"/>
            <w:vAlign w:val="bottom"/>
          </w:tcPr>
          <w:p>
            <w:pPr>
              <w:spacing w:after="0"/>
              <w:rPr>
                <w:sz w:val="1"/>
                <w:szCs w:val="1"/>
                <w:color w:val="auto"/>
              </w:rPr>
            </w:pPr>
          </w:p>
        </w:tc>
      </w:tr>
      <w:tr>
        <w:trPr>
          <w:trHeight w:val="117"/>
        </w:trPr>
        <w:tc>
          <w:tcPr>
            <w:tcW w:w="76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Mine ID</w:t>
            </w: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Mine Location</w:t>
            </w:r>
          </w:p>
        </w:tc>
        <w:tc>
          <w:tcPr>
            <w:tcW w:w="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Substantial”</w:t>
            </w:r>
          </w:p>
        </w:tc>
        <w:tc>
          <w:tcPr>
            <w:tcW w:w="860" w:type="dxa"/>
            <w:vAlign w:val="bottom"/>
            <w:vMerge w:val="continue"/>
          </w:tcPr>
          <w:p>
            <w:pPr>
              <w:spacing w:after="0"/>
              <w:rPr>
                <w:sz w:val="10"/>
                <w:szCs w:val="10"/>
                <w:color w:val="auto"/>
              </w:rPr>
            </w:pPr>
          </w:p>
        </w:tc>
        <w:tc>
          <w:tcPr>
            <w:tcW w:w="9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Citations and</w:t>
            </w:r>
          </w:p>
        </w:tc>
        <w:tc>
          <w:tcPr>
            <w:tcW w:w="1100" w:type="dxa"/>
            <w:vAlign w:val="bottom"/>
            <w:vMerge w:val="continue"/>
          </w:tcPr>
          <w:p>
            <w:pPr>
              <w:spacing w:after="0"/>
              <w:rPr>
                <w:sz w:val="10"/>
                <w:szCs w:val="10"/>
                <w:color w:val="auto"/>
              </w:rPr>
            </w:pPr>
          </w:p>
        </w:tc>
        <w:tc>
          <w:tcPr>
            <w:tcW w:w="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Imminent Danger</w:t>
            </w:r>
          </w:p>
        </w:tc>
        <w:tc>
          <w:tcPr>
            <w:tcW w:w="11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Proposed MSHA</w:t>
            </w:r>
          </w:p>
        </w:tc>
        <w:tc>
          <w:tcPr>
            <w:tcW w:w="800" w:type="dxa"/>
            <w:vAlign w:val="bottom"/>
            <w:vMerge w:val="continue"/>
          </w:tcPr>
          <w:p>
            <w:pPr>
              <w:spacing w:after="0"/>
              <w:rPr>
                <w:sz w:val="10"/>
                <w:szCs w:val="10"/>
                <w:color w:val="auto"/>
              </w:rPr>
            </w:pPr>
          </w:p>
        </w:tc>
        <w:tc>
          <w:tcPr>
            <w:tcW w:w="76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color w:val="auto"/>
              </w:rPr>
              <w:t>Last Day of</w:t>
            </w:r>
          </w:p>
        </w:tc>
        <w:tc>
          <w:tcPr>
            <w:tcW w:w="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Violations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Flagrant Violations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Assessments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Fatalities</w:t>
            </w: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Period</w:t>
            </w:r>
          </w:p>
        </w:tc>
        <w:tc>
          <w:tcPr>
            <w:tcW w:w="9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Period</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0" w:type="dxa"/>
            <w:vAlign w:val="bottom"/>
          </w:tcPr>
          <w:p>
            <w:pPr>
              <w:spacing w:after="0"/>
              <w:rPr>
                <w:sz w:val="1"/>
                <w:szCs w:val="1"/>
                <w:color w:val="auto"/>
              </w:rPr>
            </w:pPr>
          </w:p>
        </w:tc>
      </w:tr>
      <w:tr>
        <w:trPr>
          <w:trHeight w:val="162"/>
        </w:trPr>
        <w:tc>
          <w:tcPr>
            <w:tcW w:w="7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0900114</w:t>
            </w:r>
          </w:p>
        </w:tc>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Ochlocknee, Georgia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2200035</w:t>
            </w:r>
          </w:p>
        </w:tc>
        <w:tc>
          <w:tcPr>
            <w:tcW w:w="1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Ripley, Mississippi</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1,556</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1102403</w:t>
            </w:r>
          </w:p>
        </w:tc>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Mounds, Illinois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4,894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76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2200582</w:t>
            </w:r>
          </w:p>
        </w:tc>
        <w:tc>
          <w:tcPr>
            <w:tcW w:w="1160" w:type="dxa"/>
            <w:vAlign w:val="bottom"/>
          </w:tcPr>
          <w:p>
            <w:pPr>
              <w:ind w:left="120"/>
              <w:spacing w:after="0" w:line="106" w:lineRule="exact"/>
              <w:rPr>
                <w:sz w:val="20"/>
                <w:szCs w:val="20"/>
                <w:color w:val="auto"/>
              </w:rPr>
            </w:pPr>
            <w:r>
              <w:rPr>
                <w:rFonts w:ascii="Times New Roman" w:cs="Times New Roman" w:eastAsia="Times New Roman" w:hAnsi="Times New Roman"/>
                <w:sz w:val="11"/>
                <w:szCs w:val="11"/>
                <w:color w:val="auto"/>
              </w:rPr>
              <w:t>Blue Mountain,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7"/>
        </w:trPr>
        <w:tc>
          <w:tcPr>
            <w:tcW w:w="760" w:type="dxa"/>
            <w:vAlign w:val="bottom"/>
            <w:vMerge w:val="continue"/>
          </w:tcPr>
          <w:p>
            <w:pPr>
              <w:spacing w:after="0"/>
              <w:rPr>
                <w:sz w:val="7"/>
                <w:szCs w:val="7"/>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Mississippi</w:t>
            </w:r>
          </w:p>
        </w:tc>
        <w:tc>
          <w:tcPr>
            <w:tcW w:w="9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0402964</w:t>
            </w:r>
          </w:p>
        </w:tc>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Taft, California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727" w:right="319" w:bottom="1440" w:gutter="0" w:footer="0" w:header="0"/>
        </w:sectPr>
      </w:pPr>
    </w:p>
    <w:bookmarkStart w:id="80" w:name="page81"/>
    <w:bookmarkEnd w:id="80"/>
    <w:p>
      <w:pPr>
        <w:spacing w:after="0" w:line="271" w:lineRule="auto"/>
        <w:rPr>
          <w:sz w:val="20"/>
          <w:szCs w:val="20"/>
          <w:color w:val="auto"/>
        </w:rPr>
      </w:pPr>
      <w:r>
        <w:rPr>
          <w:rFonts w:ascii="Times New Roman" w:cs="Times New Roman" w:eastAsia="Times New Roman" w:hAnsi="Times New Roman"/>
          <w:sz w:val="14"/>
          <w:szCs w:val="14"/>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146"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4"/>
          <w:szCs w:val="14"/>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146" w:lineRule="exact"/>
        <w:rPr>
          <w:sz w:val="20"/>
          <w:szCs w:val="20"/>
          <w:color w:val="auto"/>
        </w:rPr>
      </w:pPr>
    </w:p>
    <w:p>
      <w:pPr>
        <w:ind w:left="100" w:right="160"/>
        <w:spacing w:after="0" w:line="271" w:lineRule="auto"/>
        <w:rPr>
          <w:sz w:val="20"/>
          <w:szCs w:val="20"/>
          <w:color w:val="auto"/>
        </w:rPr>
      </w:pPr>
      <w:r>
        <w:rPr>
          <w:rFonts w:ascii="Times New Roman" w:cs="Times New Roman" w:eastAsia="Times New Roman" w:hAnsi="Times New Roman"/>
          <w:sz w:val="14"/>
          <w:szCs w:val="14"/>
          <w:color w:val="auto"/>
        </w:rPr>
        <w:t>Contests of Citations and Orders: A contest proceeding may be filed with the Commission by operators, miners or miners’ representatives to challenge the issuance of a citation or order issued by MSHA.</w:t>
      </w:r>
    </w:p>
    <w:p>
      <w:pPr>
        <w:spacing w:after="0" w:line="146" w:lineRule="exact"/>
        <w:rPr>
          <w:sz w:val="20"/>
          <w:szCs w:val="20"/>
          <w:color w:val="auto"/>
        </w:rPr>
      </w:pPr>
    </w:p>
    <w:p>
      <w:pPr>
        <w:ind w:left="100" w:right="400"/>
        <w:spacing w:after="0" w:line="271" w:lineRule="auto"/>
        <w:rPr>
          <w:sz w:val="20"/>
          <w:szCs w:val="20"/>
          <w:color w:val="auto"/>
        </w:rPr>
      </w:pPr>
      <w:r>
        <w:rPr>
          <w:rFonts w:ascii="Times New Roman" w:cs="Times New Roman" w:eastAsia="Times New Roman" w:hAnsi="Times New Roman"/>
          <w:sz w:val="14"/>
          <w:szCs w:val="14"/>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146" w:lineRule="exact"/>
        <w:rPr>
          <w:sz w:val="20"/>
          <w:szCs w:val="20"/>
          <w:color w:val="auto"/>
        </w:rPr>
      </w:pPr>
    </w:p>
    <w:p>
      <w:pPr>
        <w:ind w:left="100" w:right="160"/>
        <w:spacing w:after="0" w:line="271" w:lineRule="auto"/>
        <w:rPr>
          <w:sz w:val="20"/>
          <w:szCs w:val="20"/>
          <w:color w:val="auto"/>
        </w:rPr>
      </w:pPr>
      <w:r>
        <w:rPr>
          <w:rFonts w:ascii="Times New Roman" w:cs="Times New Roman" w:eastAsia="Times New Roman" w:hAnsi="Times New Roman"/>
          <w:sz w:val="14"/>
          <w:szCs w:val="14"/>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146" w:lineRule="exact"/>
        <w:rPr>
          <w:sz w:val="20"/>
          <w:szCs w:val="20"/>
          <w:color w:val="auto"/>
        </w:rPr>
      </w:pPr>
    </w:p>
    <w:p>
      <w:pPr>
        <w:ind w:left="100" w:right="160"/>
        <w:spacing w:after="0" w:line="271" w:lineRule="auto"/>
        <w:rPr>
          <w:sz w:val="20"/>
          <w:szCs w:val="20"/>
          <w:color w:val="auto"/>
        </w:rPr>
      </w:pPr>
      <w:r>
        <w:rPr>
          <w:rFonts w:ascii="Times New Roman" w:cs="Times New Roman" w:eastAsia="Times New Roman" w:hAnsi="Times New Roman"/>
          <w:sz w:val="14"/>
          <w:szCs w:val="14"/>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00" w:right="180"/>
        <w:spacing w:after="0" w:line="255" w:lineRule="auto"/>
        <w:rPr>
          <w:sz w:val="20"/>
          <w:szCs w:val="20"/>
          <w:color w:val="auto"/>
        </w:rPr>
      </w:pPr>
      <w:r>
        <w:rPr>
          <w:rFonts w:ascii="Times New Roman" w:cs="Times New Roman" w:eastAsia="Times New Roman" w:hAnsi="Times New Roman"/>
          <w:sz w:val="14"/>
          <w:szCs w:val="14"/>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8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Mine ID</w:t>
            </w:r>
          </w:p>
        </w:tc>
        <w:tc>
          <w:tcPr>
            <w:tcW w:w="164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rPr>
              <w:t>Mine location</w:t>
            </w:r>
          </w:p>
        </w:tc>
        <w:tc>
          <w:tcPr>
            <w:tcW w:w="140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rPr>
              <w:t>Contests of Citations and</w:t>
            </w: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Contests of Proposed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Complaints for</w:t>
            </w:r>
          </w:p>
        </w:tc>
        <w:tc>
          <w:tcPr>
            <w:tcW w:w="162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Complaints of Discharge,</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Applications for Temporary</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Appeals of Judges Decisions or</w:t>
            </w:r>
          </w:p>
        </w:tc>
        <w:tc>
          <w:tcPr>
            <w:tcW w:w="0" w:type="dxa"/>
            <w:vAlign w:val="bottom"/>
          </w:tcPr>
          <w:p>
            <w:pPr>
              <w:spacing w:after="0"/>
              <w:rPr>
                <w:sz w:val="1"/>
                <w:szCs w:val="1"/>
                <w:color w:val="auto"/>
              </w:rPr>
            </w:pPr>
          </w:p>
        </w:tc>
      </w:tr>
      <w:tr>
        <w:trPr>
          <w:trHeight w:val="151"/>
        </w:trPr>
        <w:tc>
          <w:tcPr>
            <w:tcW w:w="880" w:type="dxa"/>
            <w:vAlign w:val="bottom"/>
            <w:tcBorders>
              <w:bottom w:val="single" w:sz="8" w:color="CCEEFF"/>
            </w:tcBorders>
            <w:vMerge w:val="continue"/>
          </w:tcPr>
          <w:p>
            <w:pPr>
              <w:spacing w:after="0"/>
              <w:rPr>
                <w:sz w:val="13"/>
                <w:szCs w:val="13"/>
                <w:color w:val="auto"/>
              </w:rPr>
            </w:pPr>
          </w:p>
        </w:tc>
        <w:tc>
          <w:tcPr>
            <w:tcW w:w="164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1"/>
                <w:szCs w:val="11"/>
                <w:color w:val="auto"/>
              </w:rPr>
              <w:t>Orders</w:t>
            </w:r>
          </w:p>
        </w:tc>
        <w:tc>
          <w:tcPr>
            <w:tcW w:w="12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Penalties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Compensation</w:t>
            </w:r>
          </w:p>
        </w:tc>
        <w:tc>
          <w:tcPr>
            <w:tcW w:w="162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1"/>
                <w:szCs w:val="11"/>
                <w:color w:val="auto"/>
              </w:rPr>
              <w:t>Discrimination or Interference</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Relief</w:t>
            </w:r>
          </w:p>
        </w:tc>
        <w:tc>
          <w:tcPr>
            <w:tcW w:w="16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color w:val="auto"/>
              </w:rPr>
              <w:t>Orders to the Commission</w:t>
            </w:r>
          </w:p>
        </w:tc>
        <w:tc>
          <w:tcPr>
            <w:tcW w:w="0" w:type="dxa"/>
            <w:vAlign w:val="bottom"/>
          </w:tcPr>
          <w:p>
            <w:pPr>
              <w:spacing w:after="0"/>
              <w:rPr>
                <w:sz w:val="1"/>
                <w:szCs w:val="1"/>
                <w:color w:val="auto"/>
              </w:rPr>
            </w:pPr>
          </w:p>
        </w:tc>
      </w:tr>
      <w:tr>
        <w:trPr>
          <w:trHeight w:val="154"/>
        </w:trPr>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0900114</w:t>
            </w: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Ochlocknee, Georgia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1"/>
                <w:szCs w:val="11"/>
                <w:color w:val="auto"/>
                <w:w w:val="90"/>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2200035</w:t>
            </w:r>
          </w:p>
        </w:tc>
        <w:tc>
          <w:tcPr>
            <w:tcW w:w="1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Ripley, Mississippi</w:t>
            </w:r>
          </w:p>
        </w:tc>
        <w:tc>
          <w:tcPr>
            <w:tcW w:w="1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w w:val="90"/>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1102403</w:t>
            </w: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Mounds, Illinois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1"/>
                <w:szCs w:val="11"/>
                <w:color w:val="auto"/>
                <w:w w:val="90"/>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2200582</w:t>
            </w:r>
          </w:p>
        </w:tc>
        <w:tc>
          <w:tcPr>
            <w:tcW w:w="1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Blue Mountain, Mississippi</w:t>
            </w:r>
          </w:p>
        </w:tc>
        <w:tc>
          <w:tcPr>
            <w:tcW w:w="1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w w:val="90"/>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0402964</w:t>
            </w: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Taft, California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1"/>
                <w:szCs w:val="11"/>
                <w:color w:val="auto"/>
                <w:w w:val="90"/>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6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280"/>
      </w:cols>
      <w:pgMar w:left="300" w:top="7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2025-03-11T15:31:24Z</dcterms:created>
  <dcterms:modified xsi:type="dcterms:W3CDTF">2025-03-11T15:31:24Z</dcterms:modified>
</cp:coreProperties>
</file>