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1980" w:right="198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2018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8"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468"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46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68"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84" w:right="239" w:bottom="1440" w:gutter="0" w:footer="0" w:header="0"/>
        </w:sect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0"/>
          <w:szCs w:val="20"/>
          <w:color w:val="auto"/>
        </w:rPr>
      </w:pPr>
    </w:p>
    <w:p>
      <w:pPr>
        <w:sectPr>
          <w:pgSz w:w="11900" w:h="16838" w:orient="portrait"/>
          <w:cols w:equalWidth="0" w:num="4">
            <w:col w:w="3660" w:space="720"/>
            <w:col w:w="2720" w:space="720"/>
            <w:col w:w="1820" w:space="720"/>
            <w:col w:w="106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75" w:lineRule="exact"/>
        <w:rPr>
          <w:sz w:val="20"/>
          <w:szCs w:val="20"/>
          <w:color w:val="auto"/>
        </w:rPr>
      </w:pPr>
    </w:p>
    <w:p>
      <w:pPr>
        <w:sectPr>
          <w:pgSz w:w="11900" w:h="16838" w:orient="portrait"/>
          <w:cols w:equalWidth="0" w:num="2">
            <w:col w:w="3660" w:space="720"/>
            <w:col w:w="7040"/>
          </w:cols>
          <w:pgMar w:left="240" w:top="584" w:right="239" w:bottom="1440" w:gutter="0" w:footer="0" w:header="0"/>
          <w:type w:val="continuous"/>
        </w:sectPr>
      </w:pPr>
    </w:p>
    <w:p>
      <w:pPr>
        <w:spacing w:after="0" w:line="33"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2" w:lineRule="exact"/>
        <w:rPr>
          <w:sz w:val="20"/>
          <w:szCs w:val="20"/>
          <w:color w:val="auto"/>
        </w:rPr>
      </w:pPr>
    </w:p>
    <w:p>
      <w:pPr>
        <w:sectPr>
          <w:pgSz w:w="11900" w:h="16838" w:orient="portrait"/>
          <w:cols w:equalWidth="0" w:num="2">
            <w:col w:w="9780" w:space="580"/>
            <w:col w:w="1060"/>
          </w:cols>
          <w:pgMar w:left="240" w:top="584" w:right="239" w:bottom="1440" w:gutter="0" w:footer="0" w:header="0"/>
          <w:type w:val="continuous"/>
        </w:sectPr>
      </w:pPr>
    </w:p>
    <w:p>
      <w:pPr>
        <w:ind w:left="78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222" w:lineRule="exact"/>
        <w:rPr>
          <w:sz w:val="20"/>
          <w:szCs w:val="20"/>
          <w:color w:val="auto"/>
        </w:rPr>
      </w:pPr>
    </w:p>
    <w:p>
      <w:pPr>
        <w:sectPr>
          <w:pgSz w:w="11900" w:h="16838" w:orient="portrait"/>
          <w:cols w:equalWidth="0" w:num="2">
            <w:col w:w="9780" w:space="580"/>
            <w:col w:w="1060"/>
          </w:cols>
          <w:pgMar w:left="240" w:top="584" w:right="239" w:bottom="1440" w:gutter="0" w:footer="0" w:header="0"/>
          <w:type w:val="continuous"/>
        </w:sectPr>
      </w:pPr>
    </w:p>
    <w:p>
      <w:pPr>
        <w:spacing w:after="0" w:line="345" w:lineRule="exact"/>
        <w:rPr>
          <w:sz w:val="20"/>
          <w:szCs w:val="20"/>
          <w:color w:val="auto"/>
        </w:rPr>
      </w:pPr>
    </w:p>
    <w:p>
      <w:pPr>
        <w:jc w:val="both"/>
        <w:ind w:firstLine="4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2018 was $193,369,000.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28, 2018:</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5,172,007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2,269,238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Oil-Dri’s Proxy Statement for its 2018 Annual Meeting of Stockholders (“Proxy Statement”), which will be filed with the Securities and Exchange Commission (“SEC”) not later than November 28, 2018 (120 days after the end of Oil-Dri’s fiscal year ended July 31, 2018), are incorporated into Part III of this Annual Report on Form 10-K, as indicated herein.</w:t>
      </w:r>
    </w:p>
    <w:p>
      <w:pPr>
        <w:sectPr>
          <w:pgSz w:w="11900" w:h="16838" w:orient="portrait"/>
          <w:cols w:equalWidth="0" w:num="1">
            <w:col w:w="11420"/>
          </w:cols>
          <w:pgMar w:left="240" w:top="5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520" w:type="dxa"/>
            <w:vAlign w:val="bottom"/>
          </w:tcPr>
          <w:p>
            <w:pPr>
              <w:jc w:val="center"/>
              <w:ind w:left="1651"/>
              <w:spacing w:after="0"/>
              <w:rPr>
                <w:sz w:val="20"/>
                <w:szCs w:val="20"/>
                <w:color w:val="auto"/>
              </w:rPr>
            </w:pPr>
            <w:r>
              <w:rPr>
                <w:rFonts w:ascii="Arial" w:cs="Arial" w:eastAsia="Arial" w:hAnsi="Arial"/>
                <w:sz w:val="18"/>
                <w:szCs w:val="18"/>
                <w:b w:val="1"/>
                <w:bCs w:val="1"/>
                <w:color w:val="auto"/>
                <w:w w:val="98"/>
              </w:rPr>
              <w:t>CONTENTS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21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color w:val="auto"/>
              </w:rPr>
              <w:t>Page</w:t>
            </w: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10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0000FF"/>
              </w:rPr>
              <w:t>Mine Safety Disclosure</w:t>
            </w:r>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23">
              <w:r>
                <w:rPr>
                  <w:rFonts w:ascii="Arial" w:cs="Arial" w:eastAsia="Arial" w:hAnsi="Arial"/>
                  <w:sz w:val="18"/>
                  <w:szCs w:val="18"/>
                  <w:color w:val="0000EE"/>
                </w:rPr>
                <w:t>Equity Securities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Management's Report on Internal Control Over Financial Reporting</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71"/>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Directors, Executive Officers and Corporate Governance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65">
              <w:r>
                <w:rPr>
                  <w:rFonts w:ascii="Arial" w:cs="Arial" w:eastAsia="Arial" w:hAnsi="Arial"/>
                  <w:sz w:val="18"/>
                  <w:szCs w:val="18"/>
                  <w:color w:val="0000EE"/>
                </w:rPr>
                <w:t>Security Ownership of Certain Beneficial Owners and Management and Related Stockholder</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65">
              <w:r>
                <w:rPr>
                  <w:rFonts w:ascii="Arial" w:cs="Arial" w:eastAsia="Arial" w:hAnsi="Arial"/>
                  <w:sz w:val="18"/>
                  <w:szCs w:val="18"/>
                  <w:color w:val="0000EE"/>
                </w:rPr>
                <w:t>Matters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Principal Accountant Fees and Services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40" w:type="dxa"/>
            <w:vAlign w:val="bottom"/>
            <w:shd w:val="clear" w:color="auto" w:fill="CCEEFF"/>
          </w:tcPr>
          <w:p>
            <w:pPr>
              <w:spacing w:after="0"/>
              <w:rPr>
                <w:sz w:val="17"/>
                <w:szCs w:val="17"/>
                <w:color w:val="auto"/>
              </w:rPr>
            </w:pPr>
          </w:p>
        </w:tc>
      </w:tr>
      <w:tr>
        <w:trPr>
          <w:trHeight w:val="48"/>
        </w:trPr>
        <w:tc>
          <w:tcPr>
            <w:tcW w:w="320" w:type="dxa"/>
            <w:vAlign w:val="bottom"/>
            <w:tcBorders>
              <w:top w:val="single" w:sz="8" w:color="CCEEFF"/>
            </w:tcBorders>
            <w:shd w:val="clear" w:color="auto" w:fill="CCEEFF"/>
          </w:tcPr>
          <w:p>
            <w:pPr>
              <w:spacing w:after="0"/>
              <w:rPr>
                <w:sz w:val="4"/>
                <w:szCs w:val="4"/>
                <w:color w:val="auto"/>
              </w:rPr>
            </w:pPr>
          </w:p>
        </w:tc>
        <w:tc>
          <w:tcPr>
            <w:tcW w:w="85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940" w:type="dxa"/>
            <w:vAlign w:val="bottom"/>
          </w:tcPr>
          <w:p>
            <w:pPr>
              <w:jc w:val="center"/>
              <w:ind w:left="2070"/>
              <w:spacing w:after="0"/>
              <w:rPr>
                <w:sz w:val="20"/>
                <w:szCs w:val="20"/>
                <w:color w:val="auto"/>
              </w:rPr>
            </w:pPr>
            <w:r>
              <w:rPr>
                <w:rFonts w:ascii="Arial" w:cs="Arial" w:eastAsia="Arial" w:hAnsi="Arial"/>
                <w:sz w:val="18"/>
                <w:szCs w:val="18"/>
                <w:b w:val="1"/>
                <w:bCs w:val="1"/>
                <w:color w:val="auto"/>
              </w:rPr>
              <w:t>CONTENTS (CONTINUED)</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Item</w:t>
            </w:r>
          </w:p>
        </w:tc>
        <w:tc>
          <w:tcPr>
            <w:tcW w:w="26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color w:val="auto"/>
              </w:rPr>
              <w:t>Page</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jc w:val="center"/>
              <w:ind w:left="209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IV</w:t>
              </w:r>
            </w:hyperlink>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89"/>
              </w:rPr>
              <w:t>15</w:t>
            </w: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Exhibits and Financial Statement Schedule</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Schedule II - Valuation and Qualifying Accounts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Exhibit Index</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40" w:type="dxa"/>
            <w:vAlign w:val="bottom"/>
            <w:shd w:val="clear" w:color="auto" w:fill="CCEEFF"/>
          </w:tcPr>
          <w:p>
            <w:pPr>
              <w:spacing w:after="0"/>
              <w:rPr>
                <w:sz w:val="21"/>
                <w:szCs w:val="21"/>
                <w:color w:val="auto"/>
              </w:rPr>
            </w:pPr>
          </w:p>
        </w:tc>
      </w:tr>
      <w:tr>
        <w:trPr>
          <w:trHeight w:val="432"/>
        </w:trPr>
        <w:tc>
          <w:tcPr>
            <w:tcW w:w="400" w:type="dxa"/>
            <w:vAlign w:val="bottom"/>
            <w:tcBorders>
              <w:top w:val="single" w:sz="8" w:color="CCEEFF"/>
            </w:tcBorders>
          </w:tcPr>
          <w:p>
            <w:pPr>
              <w:spacing w:after="0"/>
              <w:rPr>
                <w:sz w:val="24"/>
                <w:szCs w:val="24"/>
                <w:color w:val="auto"/>
              </w:rPr>
            </w:pPr>
          </w:p>
        </w:tc>
        <w:tc>
          <w:tcPr>
            <w:tcW w:w="7940" w:type="dxa"/>
            <w:vAlign w:val="bottom"/>
            <w:tcBorders>
              <w:top w:val="single" w:sz="8" w:color="CCEEFF"/>
            </w:tcBorders>
          </w:tcPr>
          <w:p>
            <w:pPr>
              <w:jc w:val="center"/>
              <w:ind w:left="2090"/>
              <w:spacing w:after="0"/>
              <w:rPr>
                <w:sz w:val="20"/>
                <w:szCs w:val="20"/>
                <w:color w:val="auto"/>
              </w:rPr>
            </w:pPr>
            <w:r>
              <w:rPr>
                <w:rFonts w:ascii="Arial" w:cs="Arial" w:eastAsia="Arial" w:hAnsi="Arial"/>
                <w:sz w:val="18"/>
                <w:szCs w:val="18"/>
                <w:b w:val="1"/>
                <w:bCs w:val="1"/>
                <w:color w:val="auto"/>
              </w:rPr>
              <w:t>FORWARD-LOOKING STATEMENTS</w:t>
            </w:r>
          </w:p>
        </w:tc>
        <w:tc>
          <w:tcPr>
            <w:tcW w:w="23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Agsorb, Amlan, Calibrin, Cat’s Pride, ConditionAde, Flo-Fre, Fresh &amp; Light, Jonny Cat, KatKit, Oil-Dri, Pel-Unite, Perform, Pro Mound, Pro's Choice Sports Field Products, Pure-Flo, Rapid Dry, Select, Terra-Green, Ultra-Clear and Verge are all U.S. registered trademarks of Oil-Dri Corporation of America or of its subsidiaries. Saular is a Canadian registered trademark of Oil-Dri Corporation of America. MD-09 and Varium are trademarks of Oil-Dri Corporation of America. Fresh Step is a registered trademark of The Clorox Company (“Clorox”).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Consolidated net income was $8,240,000, or $1.11 per diluted share, for the fiscal year 2018, a 24% decrease from net income of $10,792,000, or $1.47 per diluted share, for fiscal year 2017. Net income in fiscal year 2018 was significantly impacted by a $3,996,000 increase in tax expense to record the impact of the Tax Cuts and Job Act (the “2017 Tax Act”) on deferred income tax assets, which effectively reduced diluted net income per share by $0.54 per share. Net sales were up about 1% in fiscal year 2018 compared to fiscal year 2017; however, income from operations declined due to higher cost of sales. Lower selling, general and administrative expenses partially offset the increased cost of sales. Higher freight, packaging and non-fuel manufacturing costs drove the increased cost of sales, while lower advertising costs reduced selling, general and administrative expenses.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Consolidated Balance Sheets as of July 31, 2018 and our Consolidated Statements of Cash Flows for fiscal year 2018 reflected the results of routine operating activities and significant non-recurring investments in the business. Total cash, cash equivalents and short-term investments decreased $12,790,000 from fiscal year-end 2017. As in prior years, we spent cash for capital, dividends and debt payments. We also spent funds during the year for an enterprise resource planning system implementation and related infrastructure improvements. In addition, during fiscal year 2018 we made an $11,500,000 voluntary contribution to our defined benefit pension plan in excess of the minimum amount required. This contribution also drove the $13,255,000 decrease in the noncurrent liability for our pension and postretirement benefits.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28, 2018, the SEC adopted amendments that raise the thresholds in the definition of a “smaller reporting company" (“SRC”), thereby expanding the number of smaller companies eligible to comply with scaled disclosure requirements in several Regulation S-K and Regulation S-X items. Under the new SRC definition, a company with less than $250 million of public float as of the last business day of its second fiscal quarter qualifies as an SRC and may take advantage of the scaled disclosures. Oil-Dri met this qualification of an SRC as of January 31, 2018; therefore, this Annual Report on Form 10-K for fiscal year 2018 reflects some of the scaled disclosure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Pure-Flo, Perform and Select bleaching clay products, which act as a filtration media for edible oils, fats and tallows. Also, our Ultra-Clear product serves as a purification aid for petroleum-based oils and by-products. We also sell some nonclay-based products, such as our Oil-Dri synthetic sorbents used for industrial cleanup. Our principal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produce a wide range of granules and powders used to enhance agricultural and horticultural products. Our mineral-based absorbent products serve as chemical carriers, drying agents, and growing media. Our brands include: Agsorb, an agricultural and horticultural chemical carrier and drying agent; Verge, an engineered granule chemical carrier; Flo-Fre, a highly absorbent microgranule flowability aid; and Terra-Green, a growing media supplement.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Agsorb and Verge carriers are used in products that are alternatives to chemical sprays. The clay granules absorb active ingredients and are then delivered directly into, or on top of, the ground providing a more precise application than chemical sprays.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Verge carriers are spherical, uniform-sized granules with very low dust. Agsorb drying agent is blended into fertilizer-pesticide blends applied to absorb moisture and improve flowability. Agsorb is also used as a flowability aid for fertilizers and chemicals in the lawn and garden market. Flo-Fre microgranules are used by grain processors and other large handlers of bulk products to soak up excess moisture, which prevents caking. We employ technical sales people to market these products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or use contract processors to produce, Amlan brand name and private label products that manage the health and improve productivity of species in livestock industries. For example, our products provide a number of solutions to health challenges of swine, poultry and dairy cattle. Our Calibrin and ConditionAde products are used in animal feed to help animals defend against a broad spectrum of biotoxins. Our Varium product promotes intestinal health in poultry. Our MD-09 moisture manager product is another feed additive for the reduction of wet droppings in poultry. In addition, our Pel-Unite and Pel-Unite Plus products are specialized animal feed pellet binders.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animal health and nutrition products are sold primarily through a network of distributors to livestock producers, feed mill operators, nutritionists and veterinarians in the United States, Latin America, Africa, the Middle East and Asia. The sales force for our subsidiary located in Shenzhen, China also sells these products, as further described in Foreign Operations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produce an array of products for bleaching, purification and filtration applications which are used around the world by edible oil processors, as well as by refiners of jet fuel and other petroleum-based products.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also be used to prepare oil prior to the creation of biodiesel fuel.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produce two types of mineral-based cat litter products, scoopable and traditional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superior performance with the added convenience of being lighter to carry and pour.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Branded products</w:t>
      </w:r>
      <w:r>
        <w:rPr>
          <w:rFonts w:ascii="Arial" w:cs="Arial" w:eastAsia="Arial" w:hAnsi="Arial"/>
          <w:sz w:val="18"/>
          <w:szCs w:val="18"/>
          <w:color w:val="auto"/>
        </w:rPr>
        <w:t>. Our scoopable and non-clumping litters are sold under our Cat’s Pride and Jonny Cat brand names. Our Cat's Pride Fresh &amp; Light</w:t>
      </w:r>
      <w:r>
        <w:rPr>
          <w:rFonts w:ascii="Arial" w:cs="Arial" w:eastAsia="Arial" w:hAnsi="Arial"/>
          <w:sz w:val="18"/>
          <w:szCs w:val="18"/>
          <w:i w:val="1"/>
          <w:iCs w:val="1"/>
          <w:color w:val="auto"/>
        </w:rPr>
        <w:t xml:space="preserve"> </w:t>
      </w:r>
      <w:r>
        <w:rPr>
          <w:rFonts w:ascii="Arial" w:cs="Arial" w:eastAsia="Arial" w:hAnsi="Arial"/>
          <w:sz w:val="18"/>
          <w:szCs w:val="18"/>
          <w:color w:val="auto"/>
        </w:rPr>
        <w:t>litters created the lightweight segment of the scoopable litter market. In addition, we offer our non-clumping litter in a pre-packaged, disposable tray under the Cat’s Pride KatKit and Jonny Cat brands. Moreover, we offer litter box liners under the Cat's Pride and Jonny Cat product lines. These products are sold through independent food brokers and by our sales force to major grocery, drug, dollar store, mass-merchandiser and pet outlets, as well as through e-commerce.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produce private label scoopable and non-clumping cat litters. Our lightweight scoopable litters lead our private label cat</w:t>
      </w:r>
      <w:r>
        <w:rPr>
          <w:rFonts w:ascii="Arial" w:cs="Arial" w:eastAsia="Arial" w:hAnsi="Arial"/>
          <w:sz w:val="18"/>
          <w:szCs w:val="18"/>
          <w:i w:val="1"/>
          <w:iCs w:val="1"/>
          <w:color w:val="auto"/>
        </w:rPr>
        <w:t xml:space="preserve"> </w:t>
      </w:r>
      <w:r>
        <w:rPr>
          <w:rFonts w:ascii="Arial" w:cs="Arial" w:eastAsia="Arial" w:hAnsi="Arial"/>
          <w:sz w:val="18"/>
          <w:szCs w:val="18"/>
          <w:color w:val="auto"/>
        </w:rPr>
        <w:t>litter offerings.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Co-packaged products. </w:t>
      </w:r>
      <w:r>
        <w:rPr>
          <w:rFonts w:ascii="Arial" w:cs="Arial" w:eastAsia="Arial" w:hAnsi="Arial"/>
          <w:sz w:val="17"/>
          <w:szCs w:val="17"/>
          <w:color w:val="auto"/>
        </w:rPr>
        <w:t>We have two long-term supply arrangements (one of which is material to our business) under which we manufacture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non-clumping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manufacture and/or sell products made from clay, polypropylene and recycled cotton materials that absorb oil, acid, paint, ink, water and other liquids. These products have industrial, automotive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jc w:val="both"/>
        <w:ind w:right="20"/>
        <w:spacing w:after="0" w:line="277" w:lineRule="auto"/>
        <w:rPr>
          <w:sz w:val="20"/>
          <w:szCs w:val="20"/>
          <w:color w:val="auto"/>
        </w:rPr>
      </w:pPr>
      <w:r>
        <w:rPr>
          <w:rFonts w:ascii="Arial" w:cs="Arial" w:eastAsia="Arial" w:hAnsi="Arial"/>
          <w:sz w:val="18"/>
          <w:szCs w:val="18"/>
          <w:color w:val="auto"/>
        </w:rPr>
        <w:t>car dealerships and other industrial applications, as well as for home use in garages and driveways. Our Oil-Dri branded polypropylene-based and cotton-based products are sold in various forms, such as pads, rolls, socks, booms and spill kits.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manufacture and sell both branded and private label sports products. Pro’s Choice Sports Field Products are used on baseball, softball, football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a network of distributors specializing in sports turf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direct customers through e-commerce,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2 of the Notes to the Consolidated Financial Statements and is incorporated herein by reference.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foreign operations are located in Canada and the United Kingdom, which are included in the Retail and Wholesale Products Group, and China, Switzerland and Mexico, which are included in the Business to Business Products Group.</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May 2018, we purchased a 52% ownership interest in a distributor in Mexico. This distributor sells, among other products, our animal health and nutrition products. This subsidiary does not meet the definition of a significant subsidiary for purposes of our fiscal year 2018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foreign operations are subject to the normal risks of doing business overseas, such as currency fluctuations, restrictions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on the transfer of funds and import/export duties. Our operating results have not historically been materially impacted by these foreign currency fluctuations. Certain financial information about our foreign operations is contained in Note 2 of the Notes to the Consolidated Financial Statements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Sales to Wal-Mart Stores, Inc. (“Walmart”) and its affiliates accounted for approximately 18% and 20% of our total net sales for fiscal years 2018 and 2017, respectively. Walmart is a customer in our Retail and Wholesale Products Group. There are no customers in the Business to Business Products Group with sales equal to or greater than 10% of our total sales; however, sales to Clorox (a customer in our Business to Business Products Group) and its affiliates accounted for approximately 5% and 6% of total net sales for fiscal year 2018 and 2017, respectively. The degree of margin contribution of our significant customers in the Business to Business Products Group varies, with certain customers having a greater effect on our operating results</w:t>
      </w:r>
      <w:r>
        <w:rPr>
          <w:rFonts w:ascii="Arial" w:cs="Arial" w:eastAsia="Arial" w:hAnsi="Arial"/>
          <w:sz w:val="13"/>
          <w:szCs w:val="13"/>
          <w:color w:val="auto"/>
        </w:rPr>
        <w:t>.</w:t>
      </w:r>
      <w:r>
        <w:rPr>
          <w:rFonts w:ascii="Arial" w:cs="Arial" w:eastAsia="Arial" w:hAnsi="Arial"/>
          <w:sz w:val="16"/>
          <w:szCs w:val="16"/>
          <w:color w:val="auto"/>
        </w:rPr>
        <w:t xml:space="preserve"> The loss of any customer other than those described in this paragraph would not be expected to have a material adverse effect on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five principal competitors in our Retail and Wholesale Products Group, including one which is also our customer. The overall cat litter market has been relatively stable in recent years.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 The growing market share for scoopable cat litter has primarily offset the declining share for coarse non-clumping products.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There is significant competition to attract cat litter consumers across multi-outlet channels, including grocery, mass-merchandiser, dollar, pet and drug stores, as well as through e-commerce. Competition for the scoopable litter market has been particularly intense with new product offerings and increased advertising and promotions by our competitors and by us. We provide our customers with product innovation, a nation-wide distribution network and strong customer service. Our exceptional sales and research and development teams give us a further advantage over smaller and regional manufacturers.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six principal competitors in our Business to Business Products Group.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U.S. patents are currently granted for a term of 20 years from the date the patent application is filed. We have obtained or applied for patents for certain of our processes and products sold to customers in both the Retail and Wholesale Products Group and the Business to Business Products Group. Our patents are highly important to our business and we vigorously protect them from apparent infringement, although no single patent is considered material to the business as a whole. See Item 3 </w:t>
      </w:r>
      <w:r>
        <w:rPr>
          <w:rFonts w:ascii="Arial" w:cs="Arial" w:eastAsia="Arial" w:hAnsi="Arial"/>
          <w:sz w:val="17"/>
          <w:szCs w:val="17"/>
          <w:i w:val="1"/>
          <w:iCs w:val="1"/>
          <w:color w:val="auto"/>
        </w:rPr>
        <w:t>“</w:t>
      </w:r>
      <w:r>
        <w:rPr>
          <w:rFonts w:ascii="Arial" w:cs="Arial" w:eastAsia="Arial" w:hAnsi="Arial"/>
          <w:sz w:val="17"/>
          <w:szCs w:val="17"/>
          <w:color w:val="auto"/>
        </w:rPr>
        <w:t>Legal Proceedings</w:t>
      </w:r>
      <w:r>
        <w:rPr>
          <w:rFonts w:ascii="Arial" w:cs="Arial" w:eastAsia="Arial" w:hAnsi="Arial"/>
          <w:sz w:val="17"/>
          <w:szCs w:val="17"/>
          <w:i w:val="1"/>
          <w:iCs w:val="1"/>
          <w:color w:val="auto"/>
        </w:rPr>
        <w:t>”</w:t>
      </w:r>
      <w:r>
        <w:rPr>
          <w:rFonts w:ascii="Arial" w:cs="Arial" w:eastAsia="Arial" w:hAnsi="Arial"/>
          <w:sz w:val="17"/>
          <w:szCs w:val="17"/>
          <w:color w:val="auto"/>
        </w:rPr>
        <w:t xml:space="preserve"> for more information about specific legal matters related to our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July 31, 2018 and 2017, the value of our backlog of orders were approximately $10,338,000 and $9,817,000, respectively. This value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as of July 31, 2018 were approximately 102,381,000 tons in aggregate and our probable reserves were approximately 173,829,000 tons in aggregate, for a total of 276,210,000 tons of mineral reserves. Based on our rate of consumption during fiscal year 2018,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was reflected at cost on our balance sheet.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2018, we utilized these reserves to produce substantially all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 as of July 31, 2018 (in thousands):</w:t>
      </w:r>
    </w:p>
    <w:p>
      <w:pPr>
        <w:spacing w:after="0" w:line="11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Land &amp; Mineral</w:t>
            </w: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Equipment</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8,822</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28,792</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3,988</w:t>
            </w:r>
          </w:p>
        </w:tc>
      </w:tr>
      <w:tr>
        <w:trPr>
          <w:trHeight w:val="702"/>
        </w:trPr>
        <w:tc>
          <w:tcPr>
            <w:tcW w:w="3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2018, we employed approximately 775 persons, 42 of whom were employed by our foreign subsidiaries. We believe our corporate offices, research and development center and manufacturing facilities are adequately staffed and no material labor shortages are anticipated. Approximately 52 of our employees in the U.S. and approximately 18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related to our mining and manufacturing operations and facilities, there has been increased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primarily used natural gas in the processing kilns to dry our clay products during fiscal year 2018. See Item 7A “Quantitative and Qualitative Disclosures About Market Risk” below for more information about commodity risk with respect to our energy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5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At our research and development center in Vernon Hills, Illinois, we develop new products and applications and improve existing products. The facility includes a pilot plant that simulates the production processes of our customers and our manufacturing plants. In fiscal year 2018, we added a microbiology lab dedicated to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animal science, oncological nutrition and transitional medicine.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significant portion of our net sales comes from the sale of products in mature categories, some of which have had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and regulatory judgments and charges, settlements, or other litigation and regulatory-related costs;</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commodity and transportation costs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commodity and transportation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volatility in the price and availability of natural gas, as well as other sources of energy.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prices of other commodities such as paper, plastic resins, synthetic rubber and steel significantly influence the costs of packaging, replacement parts and equipment we use in the manufacture of our products and the maintenance of our facilities. Similarly, transportation prices impact our cost of packaging and raw materials we purchase, as well as our cost to deliver finished products to our customers. As a result, increases in the prices of commodities and transportation may increase our cost of sales and present the same types of risks as described above.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 or the costs incurred to avoid these disruptions.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Supply, capacity, information technology and logistics disruptions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In addition, an increase in truck or ocean freight costs may reduce our profitability, and a decrease in transportation availability may affect our ability to deliver our products to our customers and consequently decrease customer satisfaction and future orders.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or cyber security breaches could have an adverse effect on the Company's business and operations.</w:t>
      </w:r>
    </w:p>
    <w:p>
      <w:pPr>
        <w:spacing w:after="0" w:line="25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rely on information technology systems to process, transmit, store, and protect electronic information. For example, a significant portion of the communications between the Company's personnel, customers, and suppliers depends on information technology and we rely on access to such information systems for our operations. Disruptions, failures, cyber-attacks or privacy breaches in the information technology or phone systems of us or our customers could adversely affect our communications and business operations. Furthermore, security breaches pose a risk to confidential data and intellectual property, which could result in damages to our competitiveness and reputation. We may not have the resources or technical sophistication to anticipate or prevent rapidly-evolving types of cyber-attacks. Attacks may be targeted at us, our customers and suppliers, or others who have entrusted us with information. The Company has policies and procedures in place, including system monitoring and data back-up processes, to prevent or mitigate the effects of these potential disruptions or breaches. However, there can be no assurance that existing or emerging threats will not have an adverse impact on our systems or communications networks and, further, technological enhancements to prevent business interruptions could require increased spending.</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Difficulties experienced in implementing our new enterprise resource planning system could adversely impact our financial results during the next fiscal year.</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engaged in a multi-year implementation of a new enterprise resource planning system (“ERP”). The ERP is designed to accurately maintain our books and records and provide information important to the operation of our business. The ERP will continue to require investment of human and financial resources. Disruptions during the implementation of the ERP affected our ability to process orders, ship product and send invoices. These difficulties could, in turn, negatively impact our financial results during the next fiscal year, including sales, earnings and cash flow. While we have invested significant resources in planning and project management, further implementation issues may continue to cause delays, increased costs and other difficulties.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Changes in inventory strategy by our customers as well as other external factors could adversely affect our sales and increase our inventory risk.</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changed inventory levels as part of managing their working capital requirements. Any change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Health and Safety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found to be out of compliance with applicable laws and regulations in these or other areas, we could be subject to loss of customers and to civil remedies, including fines, injunctions, recalls or asset seizures, as well as potential criminal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power outages,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The failure to perfect or successfully assert our intellectual property rights could make us less competitive and could have a material adverse effect on our business, operating results, and financial condition.</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7"/>
          <w:szCs w:val="17"/>
          <w:color w:val="auto"/>
        </w:rPr>
        <w:t>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 See Item 3 “Legal Proceedings” for more information about specific legal matters related to our patents.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to our domestic and international sales and business operations due to economic, political, regulatory and other conditions.</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Unstable economic, political, regulatory and other conditions could adversely affect demand for our products or disrupt our operations in the United States and in international markets. International sales and operations are subject to currency exchange fluctuations, fund transfer and trade restrictions and import/export duties. In some cases, we may have difficulty enforcing agreements and collecting accounts receivable through a foreign country’s legal system. We derived approximately 23% of our consolidated net sales from sales outside of the United States in fiscal year 2018. Both international and domestic operations are also subject to regulatory requirements and issues, including with respect to environmental matters. Any of these matters could result in sudden, and potentially prolonged, changes in domestic and international demand for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2018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include in our proxy statements certain information regarding compensation consultants and related conflicts of interest;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could fluctuate substantially in the future in response to a number of factors, including the following:</w:t>
      </w:r>
    </w:p>
    <w:p>
      <w:pPr>
        <w:spacing w:after="0" w:line="237"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suppliers or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 may experience extreme price and volume fluctuations that have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Furthermore, i</w:t>
      </w:r>
      <w:r>
        <w:rPr>
          <w:rFonts w:ascii="Arial" w:cs="Arial" w:eastAsia="Arial" w:hAnsi="Arial"/>
          <w:sz w:val="17"/>
          <w:szCs w:val="17"/>
          <w:color w:val="010101"/>
        </w:rPr>
        <w:t>n response to recent public focus on dual class capital structures, certain stock index providers are implementing limitations on the</w:t>
      </w:r>
      <w:r>
        <w:rPr>
          <w:rFonts w:ascii="Arial" w:cs="Arial" w:eastAsia="Arial" w:hAnsi="Arial"/>
          <w:sz w:val="17"/>
          <w:szCs w:val="17"/>
          <w:color w:val="auto"/>
        </w:rPr>
        <w:t xml:space="preserve"> </w:t>
      </w:r>
      <w:r>
        <w:rPr>
          <w:rFonts w:ascii="Arial" w:cs="Arial" w:eastAsia="Arial" w:hAnsi="Arial"/>
          <w:sz w:val="17"/>
          <w:szCs w:val="17"/>
          <w:color w:val="010101"/>
        </w:rPr>
        <w:t>inclusion of dual class share structures in their indices. If these restrictions increase, they may impact who buys and holds our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ind w:left="400"/>
              <w:spacing w:after="0"/>
              <w:rPr>
                <w:sz w:val="20"/>
                <w:szCs w:val="20"/>
                <w:color w:val="auto"/>
              </w:rPr>
            </w:pPr>
            <w:r>
              <w:rPr>
                <w:rFonts w:ascii="Arial" w:cs="Arial" w:eastAsia="Arial" w:hAnsi="Arial"/>
                <w:sz w:val="18"/>
                <w:szCs w:val="18"/>
                <w:b w:val="1"/>
                <w:bCs w:val="1"/>
                <w:color w:val="auto"/>
              </w:rPr>
              <w:t>Real Property Holdings and Mineral Reserves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b w:val="1"/>
                <w:bCs w:val="1"/>
                <w:color w:val="auto"/>
              </w:rPr>
              <w:t>(acres)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4"/>
          </w:tcPr>
          <w:p>
            <w:pPr>
              <w:ind w:left="1120"/>
              <w:spacing w:after="0"/>
              <w:rPr>
                <w:sz w:val="20"/>
                <w:szCs w:val="20"/>
                <w:color w:val="auto"/>
              </w:rPr>
            </w:pPr>
            <w:r>
              <w:rPr>
                <w:rFonts w:ascii="Arial" w:cs="Arial" w:eastAsia="Arial" w:hAnsi="Arial"/>
                <w:sz w:val="18"/>
                <w:szCs w:val="18"/>
                <w:b w:val="1"/>
                <w:bCs w:val="1"/>
                <w:color w:val="auto"/>
                <w:w w:val="90"/>
              </w:rPr>
              <w:t>(thousands of tons)</w:t>
            </w:r>
          </w:p>
        </w:tc>
        <w:tc>
          <w:tcPr>
            <w:tcW w:w="1000" w:type="dxa"/>
            <w:vAlign w:val="bottom"/>
          </w:tcPr>
          <w:p>
            <w:pPr>
              <w:spacing w:after="0"/>
              <w:rPr>
                <w:sz w:val="23"/>
                <w:szCs w:val="23"/>
                <w:color w:val="auto"/>
              </w:rPr>
            </w:pP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15,135</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56,596</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Illinois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4,329</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167,833</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Nevada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26,292</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Tennessee</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620" w:type="dxa"/>
            <w:vAlign w:val="bottom"/>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20" w:type="dxa"/>
            <w:vAlign w:val="bottom"/>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102,381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173,829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276,210</w:t>
            </w:r>
          </w:p>
        </w:tc>
      </w:tr>
      <w:tr>
        <w:trPr>
          <w:trHeight w:val="20"/>
        </w:trPr>
        <w:tc>
          <w:tcPr>
            <w:tcW w:w="6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Mississippi, Georgia, Tennessee, Nevada, California and Illinois properties are primarily mineral in nature, except our research and development facility which is included in the Illinois owned land. We mine sorbent minerals primarily consisting of calcium bentonite, attapulgite and diatomaceous shale. We use geologists and mineral specialists who prepared the estimated reserves of these minerals in the table above. See also Item 1 “Business” above for further information about our reserves. The locations in the table above collectively produced approximately 727,000 tons and 753,000 tons of finished product in fiscal years 2018 and 2017, respectively. Parcels of such land are also sites of manufacturing facilities operated by us. We own approximately one acre of land in Laval, Quebec, Canada, which is the site of the processing, packaging and distribution facility for our Canadian subsidiary</w:t>
      </w:r>
      <w:r>
        <w:rPr>
          <w:rFonts w:ascii="Arial" w:cs="Arial" w:eastAsia="Arial" w:hAnsi="Arial"/>
          <w:sz w:val="16"/>
          <w:szCs w:val="16"/>
          <w:b w:val="1"/>
          <w:b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the clay has been dried to the desired level it will be sized and packaged. Our products have various package sizes and types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17145</wp:posOffset>
            </wp:positionV>
            <wp:extent cx="379031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31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4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Owned/Leased</w:t>
            </w:r>
          </w:p>
        </w:tc>
        <w:tc>
          <w:tcPr>
            <w:tcW w:w="7600" w:type="dxa"/>
            <w:vAlign w:val="bottom"/>
          </w:tcPr>
          <w:p>
            <w:pPr>
              <w:ind w:left="346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Alpharetta, Georgia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packaging, sales, customer service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 Mountain, Mississippi</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Chicago, Illinois</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Principal executive office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Coppet, Switzerland</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service office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Laval, Quebec, Canada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Ochlocknee, Georgia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Ripley, Mississippi</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Shenzhen, China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Sales office, customer service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Vernon Hills, Illinois</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Wisbech, United Kingdom</w:t>
            </w:r>
          </w:p>
        </w:tc>
        <w:tc>
          <w:tcPr>
            <w:tcW w:w="14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Non-clay manufacturing and clay and non-clay packaging, sales, customer service</w:t>
            </w:r>
          </w:p>
        </w:tc>
      </w:tr>
      <w:tr>
        <w:trPr>
          <w:trHeight w:val="27"/>
        </w:trPr>
        <w:tc>
          <w:tcPr>
            <w:tcW w:w="2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 mortgages on the real property we own. The leases for the locations listed above expire as follows: Shenzhen, China and Alpharetta, Georgia both in 2020; Wisbech, United Kingdom in 2032 and Chicago, Illinois in 2033. The lease for the Coppet, Switzerland office is on a year-to-year basis. We consider that our properties are generally in good condition, well maintained and suitable and adequate to carry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The case was stayed for approximately two years, pending the Inter Partes Review (“IPR”) discussed immediately below; the stay was lifted in March 2017, and fact discovery is now complete in the case. The Court provided the parties with a claim construction decision on September 5, 2018, and has set a March 18, 2019 trial date.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14, 2015, Nestlé filed a petition for the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On June 11, 2018, the Federal Circuit remanded the case back to the Board based on the agreement of the parties to consider an expanded record, as well as for the Board to consider the previously non-instituted grounds set forth in Nestle’s IPR Petition. Briefing concerning these issues is currently taking place before the Board.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6 of the Notes to the Consolidated Financial Statements for a description of our Common Stock, Class B Stock and Class A Common Stock. The number of holders of record of Common Stock and Class B Stock on September 29, 2018 were 640 and 24, respectively, as reported by our transfer agent. In the last three years, we have not sold any securities which were not registered under the Securities Act of 1933.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11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ind w:left="2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b w:val="1"/>
                <w:bCs w:val="1"/>
                <w:color w:val="auto"/>
              </w:rPr>
              <w:t>Price Range</w:t>
            </w:r>
          </w:p>
        </w:tc>
        <w:tc>
          <w:tcPr>
            <w:tcW w:w="160" w:type="dxa"/>
            <w:vAlign w:val="bottom"/>
          </w:tcPr>
          <w:p>
            <w:pPr>
              <w:spacing w:after="0"/>
              <w:rPr>
                <w:sz w:val="20"/>
                <w:szCs w:val="20"/>
                <w:color w:val="auto"/>
              </w:rPr>
            </w:pPr>
          </w:p>
        </w:tc>
        <w:tc>
          <w:tcPr>
            <w:tcW w:w="22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Class B</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2018:</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38.01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0.2300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0.1725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37.92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0.1725</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35.42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0.2300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0.1725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35.77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0.1800</w:t>
            </w:r>
          </w:p>
        </w:tc>
      </w:tr>
      <w:tr>
        <w:trPr>
          <w:trHeight w:val="297"/>
        </w:trPr>
        <w:tc>
          <w:tcPr>
            <w:tcW w:w="30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0.9300</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0.6975</w:t>
            </w:r>
          </w:p>
        </w:tc>
      </w:tr>
      <w:tr>
        <w:trPr>
          <w:trHeight w:val="176"/>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Fiscal Year 2017:</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32.55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0.1650</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31.35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0.1650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33.26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0.1650</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33.61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0.2300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0.1725</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0.6675</w:t>
            </w: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Our Board of Directors determines the timing and amount of any dividends. Our Board of Directors may change its dividend practice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Issuer Repurchase of Equity Securities. </w:t>
      </w:r>
      <w:r>
        <w:rPr>
          <w:rFonts w:ascii="Arial" w:cs="Arial" w:eastAsia="Arial" w:hAnsi="Arial"/>
          <w:sz w:val="16"/>
          <w:szCs w:val="16"/>
          <w:color w:val="auto"/>
        </w:rPr>
        <w:t>Our Board of Directors authorized the repurchase of 250,000 shares of Common Stock on March 11, 2011</w:t>
      </w:r>
      <w:r>
        <w:rPr>
          <w:rFonts w:ascii="Arial" w:cs="Arial" w:eastAsia="Arial" w:hAnsi="Arial"/>
          <w:sz w:val="16"/>
          <w:szCs w:val="16"/>
          <w:b w:val="1"/>
          <w:bCs w:val="1"/>
          <w:color w:val="auto"/>
        </w:rPr>
        <w:t xml:space="preserve"> </w:t>
      </w:r>
      <w:r>
        <w:rPr>
          <w:rFonts w:ascii="Arial" w:cs="Arial" w:eastAsia="Arial" w:hAnsi="Arial"/>
          <w:sz w:val="16"/>
          <w:szCs w:val="16"/>
          <w:color w:val="auto"/>
        </w:rPr>
        <w:t>and authorized the repurchase of an additional 250,000 shares on June 14, 2012. In addition, on March 21, 2018, the Board authorized the repurchase of 300,000 shares of Class B Stock. These authorizations do not have a stated expiration date. These repurchases may be made on the open market (pursuant to Rule 10b5-1 plans or otherwise) or in negotiated transactions. The timing and number of shares repurchased will be determined by our management. As of July 31, 2018, a total of 300,822 shares of Common Stock and 300,000 shares of Class B Stock may yet be repurchased under these authorizations.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information under this item.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Consolidated net income was $8,240,000, or $1.11 per diluted share, for the fiscal year ended July 31, 2018, a 24% decrease from net income of $10,792,000, or $1.47 per diluted share, for the fiscal year ended July 31, 2017. Net income in fiscal year 2018 was significantly impacted by a $3,996,000 increase in tax expense to record the impact of the 2017 Tax Act on deferred income tax assets, which effectively reduced diluted net income per share by $0.54 per share. See Note 5 of Notes to the Consolidated Financial Statements for more information about income taxes.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sales were up about 1% in fiscal year 2018 compared to fiscal year 2017; however, income from operations declined due to higher cost of sales. Lower selling, general and administrative expenses partially offset the increased cost of sales. Higher freight and packaging costs drove the increased cost of sales, while lower advertising costs reduced selling, general and administrative expenses.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Consolidated Balance Sheets as of July 31, 2018 and our Consolidated Statements of Cash Flows for fiscal year 2018 reflected the results of routine operating activities and significant non-recurring investments in the business. Total cash, cash equivalents and short-term investments decreased $12,790,000 from fiscal year-end 2017. As in prior years, we spent cash for capital, dividends and debt payments. We also spent funds during the year for an enterprise resource planning system implementation and related infrastructure improvements. In addition, during fiscal year 2018 we made an $11,500,000 voluntary contribution to our defined benefit pension plan in excess of the minimum amount required. This contribution also drove the $13,255,000 decrease in the noncurrent liability for our pension and postretirement benefits. See Note 8 of Notes to the Consolidated Financial Statements for more information about our pension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2018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year 2018 were $266,000,000, an increase of $3,693,000 from net sales of $262,307,000 in fiscal year 2017. Net sales in our Business to Business Products Group increased for our products used in agricultural, fluids purification and animal health applications. Net sales in our Retail and Wholesale Products Group declined for our cat litter products, as well as for our subsidiaries in Canada and the United Kingdom. Sales fluctuations by operating segment are further discussed below.</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Consolidated gross profit in fiscal year 2018 was $72,002,000, a decrease of $1,710,000 from gross profit of $73,712,000 in the prior year. Our gross margin (defined as gross profit as a percentage of net sales) in fiscal year 2018 decreased to 27% from 28% in fiscal year 2017. Gross profit decreased due primarily to higher freight, packaging and non-fuel manufacturing costs. Freight costs per ton increased approximately 12% compared to the prior fiscal year. Freight rates increased due to new regulations in the trucking industry and a shortage of drivers, which have resulted in less truck availability. Packaging costs per ton were approximately 9% higher compared to the prior fiscal year. Significant amounts of our packaging purchases are subject to contractual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312" w:lineRule="auto"/>
        <w:rPr>
          <w:sz w:val="20"/>
          <w:szCs w:val="20"/>
          <w:color w:val="auto"/>
        </w:rPr>
      </w:pPr>
      <w:r>
        <w:rPr>
          <w:rFonts w:ascii="Arial" w:cs="Arial" w:eastAsia="Arial" w:hAnsi="Arial"/>
          <w:sz w:val="16"/>
          <w:szCs w:val="16"/>
          <w:color w:val="auto"/>
        </w:rPr>
        <w:t>price adjustments throughout the year based on underlying commodity prices, including both resin and paper-based packaging. In addition, non-fuel manufacturing costs per ton were up approximately 3%, driven by reduced fixed cost absorption as we produced fewer tons of finished product, as well as by increased labor, salaries, repairs and depreciation costs. Depreciation costs increased as we continue to invest in machinery and equipment at our plants.</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Total selling, general and administrative expenses were 2% lower in fiscal year 2018 compared to fiscal year 2017. The discussions of each segment's operating income below describe the changes in selling, general and administrative expenses that were allocated to that segment, particularly lower advertising expense in the Retail and Wholesale Products Group. The remaining unallocated corporate expenses in fiscal year 2018 included higher expenditures for outside legal fees associated with ongoing litigation (see Item 3 </w:t>
      </w:r>
      <w:r>
        <w:rPr>
          <w:rFonts w:ascii="Arial" w:cs="Arial" w:eastAsia="Arial" w:hAnsi="Arial"/>
          <w:sz w:val="16"/>
          <w:szCs w:val="16"/>
          <w:i w:val="1"/>
          <w:iCs w:val="1"/>
          <w:color w:val="auto"/>
        </w:rPr>
        <w:t>“</w:t>
      </w:r>
      <w:r>
        <w:rPr>
          <w:rFonts w:ascii="Arial" w:cs="Arial" w:eastAsia="Arial" w:hAnsi="Arial"/>
          <w:sz w:val="16"/>
          <w:szCs w:val="16"/>
          <w:color w:val="auto"/>
        </w:rPr>
        <w:t>Legal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for the implementation of our new enterprise resource planning software and for research and development. These higher corporate expenditures were partially offset by lower pension expense. Note 8 of Notes to the Consolidated Financial Statements provides more information about pension expense. In addition, the estimated annual incentive bonus accrual for fiscal year-end 2018 was higher compared to fiscal year-end 2017. The incentive bonus accrual was based on actual financial results achieved for the fiscal year and discretion by our Chief Executive Officer, in accordance with the incentive plan's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Tax expense for fiscal year 2018 was $6,644,000 compared to $3,753,000 in fiscal year 2017. Excluding the $3,996,000 tax adjustment discussed in the “Overview” above, the effective tax rate for fiscal year 2018 would have been 17.8% compared to the fiscal year 2017 effective tax rate of 25.8%, due primarily to the lower U.S. federal corporate tax rate under the 2017 Tax Act. See Note 5 of the Notes to the Consolidated Financial Statements for additional information about our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sales of the Business to Business Products Group for fiscal year 2018 were $105,043,000, an increase of $4,624,000, or 5%, from net sales of $100,419,000 in fiscal year 2017. Net sales increased for our products used in agricultural applications, fluids purification and animal health.</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Sales of our agricultural and horticultural products were approximately 13% higher. Sales improved primarily due to a new customer for our traditional agricultural chemical carrier granules. Sales of our fluid purification products increased approximately 5% primarily as a result of increased sales to petroleum oil and biodiesel processors in both foreign and domestic markets. Net sales of animal health and nutrition products were up approximately 4%, driven by increased sales in Latin America and a favorable product sales mix. Targeted marketing efforts for animal health products in Latin America resulted in significantly higher sales to both new and existing distributors. Lower sales of animal health products in North America and by our subsidiary in China partially offset the higher sales in Latin America. Our China subsidiary's results are further discussed in “Foreign Operations” below. Sales of our co-packaged cat litter declined approximately 8% due to reduced demand for coarse cat litters.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Business to Business Products Group’s selling, general and administrative expenses in fiscal year 2018 were approximately 4% higher compared to fiscal year 2017 due primarily to increased expenditures to develop and improve our animal health products.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Business to Business Products Group’s operating income in fiscal year 2018 was $35,120,000, an increase of $1,777,000 from operating income of $33,343,000 in fiscal year 2017. The improved income was primarily due to higher sales, which more than offset increased freight, packaging and non-fuel manufacturing costs. See further discussion of these costs in “Consolidated Results”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of the Retail and Wholesale Products Group for fiscal year 2018 were $160,957,000, a decrease of $931,000, or 1%, from net sales of $161,888,000 in fiscal year 2017. Sales declined for our cat litter products and for our subsidiaries in Canada and the United Kingdom. Our foreign subsidiaries' results are discussed further in “Foreign Operations” below. Sales of our industrial absorbent and sports products decreased slightly from the prior year.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cat litter net sales were down approximately 1% compared to the prior year. Lower sales of branded litters were mostly offset by higher sales of private label litter. Branded litter sales were negatively impacted by the loss of a customer; however, significantly higher e-commerce sales lessened the branded litter decline. Sales of our private label lightweight scoopable litter grew, driven by new distribution and increased sales to current customers. Partially offsetting this increase was lower sales of private label coarse litter due to the loss of a customer.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were approximately 16% lower compared to fiscal year 2017. The decrease was driven by approximately $3,100,000 lower advertising expense. We plan to continue promoting our lightweight litter and we expect the advertising expense in fiscal year 2019 to be at similar levels as fiscal year 2018.</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Retail and Wholesale Products Group’s segment operating income for fiscal year 2018 was $6,975,000, an increase of $200,000, or 3%, from operating income of $6,775,000 in fiscal year 2017. The reduction in advertising costs, as discussed above, and the benefit of a favorable product sales mix outweighed higher freight, packaging and non-fuel manufacturing costs. See further discussion of these costs in “Consolidated Results”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subsidiaries in China and Mexico, which are included in the Business to Business Products Group. Net sales by our foreign subsidiaries during fiscal year 2018 were $11,842,000, a decrease of $693,000, or 6%, from net sales of $12,535,000 during fiscal year 2017. Net sales by our foreign subsidiaries represented 4% and 5% of our consolidated net sales during fiscal years 2018 and 2017, respectively. The decrease in net sales was driven by approximately 17% fewer tons of animal health and nutrition products sold by our subsidiary in China, primarily as the result of lower sales to the succeeding consolidated business after the merger of two customers.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fiscal year 2018, our foreign subsidiaries reported a net loss of $9,000, compared to a net loss of $41,000 in fiscal year 2017. The net loss decreased due primarily to a favorable product sales mix for our subsidiaries in Canada and the United Kingdom, as well as a positive exchange rate impact upon conversion of our China subsidiary's financial statements from the Chinese Yuan to the U.S. Dollar.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2018 were $9,321,000 compared to $8,028,000 as of July 31, 2017. The increase was due primarily to the addition of assets in fiscal year 2018 upon acquisition of an interest in our foreign subsidiary in Mexico.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capital requirements include: funding working capital needs; purchasing and upgrading equipment, facilities, information systems, and real estate; supporting new product development; investing in infrastructure; paying dividends; making pension contributions and business acquisitions. During fiscal year 2018, we primarily used cash generated from operations to fund these requirements. In addition, during fiscal year 2018 we borrowed under our revolving credit agreement with BMO Harris to make a voluntary contribution to our pension plan. This borrowing is described under "Other" below and the pension plan is discussed in Note 8 of the Notes to the Consolidated Financial Statements. Cash and cash equivalents totaled $12,757,000 and $9,095,000 as of July 31, 2018 and 2017, respectively. Short term investments were $7,124,000 and $23,576,000 as of July 31, 2018 and 2017,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for the fiscal year (in thousands):</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5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10,612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26,949</w:t>
            </w: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(8,550)</w:t>
            </w: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57"/>
        </w:trPr>
        <w:tc>
          <w:tcPr>
            <w:tcW w:w="58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(9,534)</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fiscal years 2018 and 2017 were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jc w:val="both"/>
        <w:ind w:firstLine="648"/>
        <w:spacing w:after="0" w:line="297" w:lineRule="auto"/>
        <w:rPr>
          <w:sz w:val="20"/>
          <w:szCs w:val="20"/>
          <w:color w:val="auto"/>
        </w:rPr>
      </w:pPr>
      <w:r>
        <w:rPr>
          <w:rFonts w:ascii="Arial" w:cs="Arial" w:eastAsia="Arial" w:hAnsi="Arial"/>
          <w:sz w:val="16"/>
          <w:szCs w:val="16"/>
          <w:color w:val="auto"/>
        </w:rPr>
        <w:t>Deferred income taxes were $7,270,000 lower at fiscal year-end 2018 compared to fiscal year-end 2017, and were $2,408,000 lower at fiscal year-end 2017 compared to fiscal year-end 2016. During fiscal year 2018, an adjustment to reflect the lower U.S. federal corporate tax rate under the 2017 Tax Act resulted in reduced deferred taxes, particularly related to depreciation, deferred compensation and postretirement benefits. See Note 5 of the Notes to the Consolidated Financial Statements for further information about income taxes. A decrease in both the pension and postretirement benefits liability and the trade promotions and advertising expense accrual drove the lower deferred income taxes at fiscal year-end 2017 compared to fiscal year-end 2016.</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less allowance for doubtful accounts and cash discounts, were $270,000 higher at fiscal year-end 2018 compared to fiscal year-end 2017, but were $2,344,000 higher at fiscal year-end 2017 compared to fiscal year-end 2016. Fluctuations in accounts receivable balances were impacted by the timing of both sales and collections, as well as the payment terms provided to various customers. In addition, sales in the fourth quarter of fiscal year 2017, particularly in the month of July, were higher than in the fourth quarter of fiscal year 2016.</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Inventories were $225,000 lower at fiscal year-end 2018 compared to fiscal year-end 2017 due primarily to a higher reserve for discontinued, slow moving and unsaleable inventory. Inventories were $666,000 lower at fiscal year-end 2017 compared to fiscal year-end 2016 due primarily to lower fuel oil and purchased ingredients inventories, which were partially offset by a higher finished goods inventory. In fiscal 2017, we elected to reduce our fuel oil reserves held in tanks at our plants given our continued use of lower cost natural gas and to allow preventative maintenance to be performed. Furthermore, finished goods and purchased ingredient inventories vary from year to year due to anticipated sales requirements and the mix of products to be produced.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Prepaid expenses were $807,000 higher at fiscal year-end 2018 compared to fiscal year-end 2017 due primarily to increased prepaid income taxes, which was partially offset by lower prepaid advertising costs. Prepaid expenses were $1,248,000 higher at fiscal year-end 2017 compared to fiscal year-end 2016 due primarily to higher prepaid advertising costs.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assets were $134,000 lower at fiscal year-end 2018 compared to fiscal year-end 2017 due primarily to a reduction of prepaid long-term maintenance for computer hardware and software. Conversely, increased prepaid long-term maintenance for computer hardware and software resulted in a $694,000 increase in other assets at fiscal year-end 2017 compared to fiscal year-end 2016.</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Accounts payable, including income taxes payable, were $2,436,000 lower at fiscal year-end 2018 compared to fiscal year-end 2017. Accounts payable were $2,423,000 higher at fiscal year-end 2017 compared to fiscal year-end 2016. Changes in trade accounts payable in all periods are subject to normal fluctuations in the timing of payments, the cost of goods and services we purchased, production volume levels and vendor payment terms.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Accrued expenses were $771,000 higher at fiscal year-end 2018 compared to fiscal year-end 2017 due primarily to a higher accrued discretionary annual bonus, which was partially offset by lower accruals for trade promotions and advertising. Accrued expenses were $845,000 lower at fiscal year-end 2017 compared to fiscal year-end 2016 due primarily to a lower accruals for the annual bonus and for trade promotions and advertising. Furthermore, changes in other accrued expenses in all periods related to ongoing operations are also subject to normal fluctuations in the timing of payments.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Pension and other postretirement liabilities, net of the adjustment recorded in stockholders' equity, were $11,048,000 lower at fiscal year-end 2018 compared to fiscal year-end 2017, and were $209,000 higher at fiscal year-end 2017 compared to fiscal year-end 2016. The liability decrease in fiscal year 2018 was due primarily to an $11,500,000 voluntary contribution in excess of the minimum amount required. The liability increase in fiscal year 2017 was due to continued benefits accumulation, which were significantly offset by the benefits of both a higher discount rate and an updated mortality table used for the actuarial calculation of these obligations. See Note 8 of the Notes to the Consolidated Financial Statements for more information regarding our postretirement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provided by investing activities was $2,572,000 in fiscal year 2018 and cash used in investing activities was$28,044,000 in fiscal year 2017. During fiscal years 2018, dispositions of short-term investments provided cash in excess of purchases by $16,581,000. The excess cash was used in part to fund the voluntary contribution to our pension plan. In fiscal year 2017, purchases of short-term investments exceeded dispositions by $13,345,000. Purchases and dispositions of investment securities in all periods are subject to variations in the timing of investment maturities and the operating cash needs of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jc w:val="both"/>
        <w:ind w:right="20" w:firstLine="648"/>
        <w:spacing w:after="0" w:line="342" w:lineRule="auto"/>
        <w:rPr>
          <w:sz w:val="20"/>
          <w:szCs w:val="20"/>
          <w:color w:val="auto"/>
        </w:rPr>
      </w:pPr>
      <w:r>
        <w:rPr>
          <w:rFonts w:ascii="Arial" w:cs="Arial" w:eastAsia="Arial" w:hAnsi="Arial"/>
          <w:sz w:val="16"/>
          <w:szCs w:val="16"/>
          <w:color w:val="auto"/>
        </w:rPr>
        <w:t>Capital expenditures of $15,074,000 in fiscal year 2018 and of $14,763,000 in fiscal year 2017 included spending for the enterprise resource planning system implementation and related infrastructure improvements, as well as equipment additions and replacement at our manufacturing facilities.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$1,747,000 cash proceeds were received in fiscal year 2018 from the closing of a life insurance policy on a former key employee.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financing activities was $9,339,000 in fiscal year 2018 and $8,550,000 in fiscal year 2017. The primary uses of cash in all periods were for long-term debt and dividend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cash and investment balances held by our foreign subsidiaries as of July 31, 2018 and 2017 were $1,849,000, $1,509,000, respectively. See further discussion in the “Foreign Operations” section above.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 $25,000,000 unsecured revolving credit agreement with BMO Harris which expires on December 4, 2019. The agreement also provides for a maximum of $5,000,000 for foreign letters of credit. Under the agreement we may select a variable rate based on either the BMO Harris prime rate or a LIBOR-based rate, plus a margin which varies depending on our debt to earnings ratio, or a fixed rate as agreed between us and BMO Harris. As of July 31, 2018, the variable rates would have been 5.00% for BMO Harris’ prime-based rate or 3.34%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2018 and 2017, we were in compliance with its covenants. As of July 31, 2018 and 2017, there were no outstanding borrowings under this credit agreement; however, there was a total of $1,236,000 allocated for guarantees required by one of our insurance policies and by a state environmental regulation.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borrowed $6,000,000 at a weighted average interest rate of 2.96% under the credit agreement with BMO Harris during the third quarter of fiscal 2018. We repaid this borrowing in the fourth quarter of fiscal 2018. The proceeds from the borrowing were used to partially fund the voluntary contribution to our pension plan. There were no other borrowings during either fiscal year 2018 or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3 of the Notes to the Consolidated Financial Statements for information about our outstanding notes payable.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spent approximately $3,100,000 less for advertising in fiscal year 2018 compared to fiscal year 2017 due to lower expenditures to promote our lightweight cat litter. We plan to continue promoting our lightweight products and we expect advertising expense in fiscal year 2019 to be similar to fiscal year 2018. We also anticipate that our capital expenditures in fiscal year 2019 will be higher than in fiscal year 2018 due primarily to planned spending at our manufacturing facilities. We do not anticipate that these increased expenditures will dramatically impact our cash position; however,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of the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2018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effective tax rate on earnings was based on expected income, statutory tax rates and tax planning opportunities available to us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we operate. Significant judgment was required in determining our effective tax rate and in evaluating our tax positions.</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determine our current and deferred taxes in accordance with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For example, certain factors, such as depletion and the cost of fuel used in our manufacturing process are difficult to predict and have a significant impact on our ability to use the deferred tax benefit related to our AMT credit carryforwards.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recorded valuation allowances of $789,000 and $793,000 for the amount of the deferred tax benefit related to our foreign net operating loss carryforwards as of July 31, 2018 and 2017, respectively, because we believe it is unlikely we will realize the benefit of these tax attributes in the future.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2018 or 2017. See Note 5 of the Notes to the Consolidated Financial Statements for further discussion.</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$1,024,000 and $1,495,000 for trade promotions as of July 31, 2018 and 2017,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both"/>
        <w:ind w:firstLine="648"/>
        <w:spacing w:after="0" w:line="289" w:lineRule="auto"/>
        <w:rPr>
          <w:sz w:val="20"/>
          <w:szCs w:val="20"/>
          <w:color w:val="auto"/>
        </w:rPr>
      </w:pPr>
      <w:r>
        <w:rPr>
          <w:rFonts w:ascii="Arial" w:cs="Arial" w:eastAsia="Arial" w:hAnsi="Arial"/>
          <w:sz w:val="16"/>
          <w:szCs w:val="16"/>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2018 and 2017 was the FTSE Pension Discount Curve (formally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Trade Receivables. </w:t>
      </w:r>
      <w:r>
        <w:rPr>
          <w:rFonts w:ascii="Arial" w:cs="Arial" w:eastAsia="Arial" w:hAnsi="Arial"/>
          <w:sz w:val="16"/>
          <w:szCs w:val="16"/>
          <w:color w:val="auto"/>
        </w:rPr>
        <w:t>We recognize trade receivables when the risk of loss and title pass to the customer. We record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$817,000 and $748,000 as of July 31, 2018 and 2017,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risk of loss and title are transferred under the terms of our sales agreements with customers at a</w:t>
      </w:r>
      <w:r>
        <w:rPr>
          <w:rFonts w:ascii="Arial" w:cs="Arial" w:eastAsia="Arial" w:hAnsi="Arial"/>
          <w:sz w:val="18"/>
          <w:szCs w:val="18"/>
          <w:b w:val="1"/>
          <w:bCs w:val="1"/>
          <w:color w:val="auto"/>
        </w:rPr>
        <w:t xml:space="preserve"> </w:t>
      </w:r>
      <w:r>
        <w:rPr>
          <w:rFonts w:ascii="Arial" w:cs="Arial" w:eastAsia="Arial" w:hAnsi="Arial"/>
          <w:sz w:val="18"/>
          <w:szCs w:val="18"/>
          <w:color w:val="auto"/>
        </w:rPr>
        <w:t>fixed and determinable price and collection of payment is probable. Taxes collected from customers and remitted to governmental authorities are excluded from net sales. Sales returns and allowances are not material.</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We value inventories at the lower of cost (first-in, first-out) or market. Inventory costs include the cost of raw materials, packaging</w:t>
      </w:r>
      <w:r>
        <w:rPr>
          <w:rFonts w:ascii="Arial" w:cs="Arial" w:eastAsia="Arial" w:hAnsi="Arial"/>
          <w:sz w:val="16"/>
          <w:szCs w:val="16"/>
          <w:b w:val="1"/>
          <w:bCs w:val="1"/>
          <w:color w:val="auto"/>
        </w:rPr>
        <w:t xml:space="preserve"> </w:t>
      </w:r>
      <w:r>
        <w:rPr>
          <w:rFonts w:ascii="Arial" w:cs="Arial" w:eastAsia="Arial" w:hAnsi="Arial"/>
          <w:sz w:val="16"/>
          <w:szCs w:val="16"/>
          <w:color w:val="auto"/>
        </w:rPr>
        <w:t>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values as of July 31, 2018 and 2017 were $1,136,000 and $619,000, respectively.</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2018 and 2017, we have recorded an estimated net reclamation asset of $718,000 and $754,000, respectively, and a corresponding estimated reclamation liability of $2,000,000 as of July 31, 2018 and $1,878,000 as of July 31, 2017.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Impairment of goodwill, trademarks and other intangible assets. </w:t>
      </w:r>
      <w:r>
        <w:rPr>
          <w:rFonts w:ascii="Arial" w:cs="Arial" w:eastAsia="Arial" w:hAnsi="Arial"/>
          <w:sz w:val="16"/>
          <w:szCs w:val="16"/>
          <w:color w:val="auto"/>
        </w:rPr>
        <w:t>We review carrying values of goodwill, trademarks and other indefinite-lived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intangible assets periodically for possible impairment in accordance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Our impairment review requires significant judgment with respect to factors such as volume, revenue and expenses. Impairment occurs when the carrying value exceeds the fair value. Our impairment analysis is performed in the fourth quarter of the fiscal year and may be re-performed during the year when indicators such as unexpected adverse economic factors, unanticipated technological changes, competitive activities and acts by governments and courts indicate that an asset may become impaired. Our impairment analysis performed in the fourth quarters of both fiscal years 2018 and 2017 did not indicate any impairment. We continue to monitor events, circumstances or changes in the business that might imply a reduction in value which could lead to an impairment.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the first quarter of fiscal year 2018, we adopted the Financial Accounting Standards Board (“FASB”) guidance under Accounting Standards Codification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that simplified several aspects of the accounting for share-based payment transactions, including accounting for income taxes and classification of excess tax benefits in the statement of cash flows. As a result of implementing this guidance, we recognized $175,000 of excess tax benefits as a reduction of income tax expense for fiscal year 2018, rather than in Stockholders' Equity on the Consolidated Balance Sheets, and is classified in operating activities on the Consolidated Statements of Cash Flows. These changes have been applied prospectively in accordance with the guidance and prior period presentations have not been adjusted. The adoption resulted in approximately a 1% benefit to our effective tax rate for fiscal year 2018. In addition, we excluded the excess tax benefits from the assumed proceeds available to repurchase shares under the treasury stock method for the computation of diluted earnings per share. This change did not have a material impact on our diluted earnings per share for fiscal year 2018. The guidance allows for a policy election to either use estimated forfeitures or account for them as they occur to determine the amount of compensation cost to be recognized each period. We have elected to continue to account for forfeitures on an estimated basis. No other material changes resulted from the adoption of this standard.</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first quarter of fiscal year 2018, we adopted the FASB guidance under ASC 740,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which required deferred tax liabilities and assets to be classified as noncurrent in a classified statement of financial position. Prior periods presented were also restated. We reclassified $2,787,000 from Total Current Assets to Total Other Assets on the Consolidated Balance Sheets as of July 31, 2017.</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first quarter of fiscal year 2018, we adopted the FASB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required inventory to be measured at the lower of cost and net realizable value, which is defined as the estimated selling price in the ordinary course of business less reasonably predictable costs of completion, disposal and transportation. Adoption of this guidance did not have a material impact on our Consolidated Financial Statements.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the third quarter of fiscal year 2018, we early adopted the FASB guidance under ASC 220, </w:t>
      </w:r>
      <w:r>
        <w:rPr>
          <w:rFonts w:ascii="Arial" w:cs="Arial" w:eastAsia="Arial" w:hAnsi="Arial"/>
          <w:sz w:val="16"/>
          <w:szCs w:val="16"/>
          <w:i w:val="1"/>
          <w:iCs w:val="1"/>
          <w:color w:val="auto"/>
        </w:rPr>
        <w:t>Reclassification of Certain Tax Effects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Accumulated Other Comprehensive Income. </w:t>
      </w:r>
      <w:r>
        <w:rPr>
          <w:rFonts w:ascii="Arial" w:cs="Arial" w:eastAsia="Arial" w:hAnsi="Arial"/>
          <w:sz w:val="16"/>
          <w:szCs w:val="16"/>
          <w:color w:val="auto"/>
        </w:rPr>
        <w:t>Current U.S. GAAP requires deferred tax liabilities and assets to be adjusted for a change in tax laws or rates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effect included in income from continuing operations, even when the deferred taxes being remeasured were established through other comprehensive income. As a result, a disproportionate tax effect may remain in accumulated other comprehensive income. The new guidance under ASC 220 provided an option to reclassify from accumulated other comprehensive income to retained earnings the stranded tax effects that resulted from the 2017 Tax Act, which was enacted on December 22, 2017. Upon adoption of the guidance, we reclassified $2,264,000 from accumulated other comprehensive income to retained earnings on the unaudited Consolidated Balance Sheets. See Notes 6 and 5 of the Notes to the Consolidated Financial Statements for further information about our accumulated other comprehensive income and about the impact of the 2017 Tax Act,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was subsequently amended several times to further clarify the principles for recognizing revenue. The guidance requires entities to recognize revenue to depict the transfer of promised goods or services to customers in an amount that reflects the consideration to which the entity expects to be entitled to receive in exchange. Oil-Dri's revenue is generated from the sale of finished goods to customers. Those sales predominantly contain a single delivery obligation. Under Oil-Dri's current accounting policy, revenue is recognized at a single point in time when ownership, risks and rewards transfer. We are in the process of finalizing our assessment and documentation of our evaluation of the new standard. Based on our evaluation process completed to date and review of our contracts with customers, the timing and amount of revenue recognized under the new guidance is not significantly changed from our revenue recognition under previous guidance. We plan to adopt the standard at the beginning of our first quarter of fiscal year 2019 using the modified retrospective implementation method, and we will expand our financial statement disclosures as required. The adoption of this new guidance is not expected to have a material impact on our results operations, cash flows or financial position.</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This guidance is effective for our first quarter of fiscal year 2019. The provisions relevant to us relate to fair value disclosures for our notes payable, which are measured at amortized cost on the balance sheet. These provisions require the use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the exit price notion when measuring the fair value of financial instruments for disclosure purposes, as well as eliminate the requirement to disclose the method and significant assumptions used to estimate the fair value in such disclosure. This guidance impacts disclosures only and will not have a material impact on our Consolidated Financial Statements.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which requires presenting the service cost component of net periodic benefit cost in the same income statement line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 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Upon adoption of this guidance, we will separately present the components of net periodic benefit cost or income related to our pension plan and postretirement health plan, excluding the service cost component, in non-operating expenses on a retrospective basis. See Note 8 of the Notes to the Consolidated Financial Satements for further information about our pension and postretirement health plans.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all recently issued accounting standards is contained in Note 1 of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under this item.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12,757</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Accounts receivable, less allowance of $817 and $748</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33,602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in 2018 and 2017,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22,521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4,111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Assets (1)</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83,014</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94,230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38,534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37,284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141,530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136,900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11,089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10,356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37"/>
        </w:trPr>
        <w:tc>
          <w:tcPr>
            <w:tcW w:w="8460" w:type="dxa"/>
            <w:vAlign w:val="bottom"/>
          </w:tcPr>
          <w:p>
            <w:pPr>
              <w:ind w:left="600"/>
              <w:spacing w:after="0"/>
              <w:rPr>
                <w:sz w:val="20"/>
                <w:szCs w:val="20"/>
                <w:color w:val="auto"/>
              </w:rPr>
            </w:pPr>
            <w:r>
              <w:rPr>
                <w:rFonts w:ascii="Arial" w:cs="Arial" w:eastAsia="Arial" w:hAnsi="Arial"/>
                <w:sz w:val="18"/>
                <w:szCs w:val="18"/>
                <w:color w:val="auto"/>
              </w:rPr>
              <w:t>Gross depreciable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205,304</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198,155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(149,385)</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(140,411)</w:t>
            </w:r>
          </w:p>
        </w:tc>
        <w:tc>
          <w:tcPr>
            <w:tcW w:w="0" w:type="dxa"/>
            <w:vAlign w:val="bottom"/>
          </w:tcPr>
          <w:p>
            <w:pPr>
              <w:spacing w:after="0"/>
              <w:rPr>
                <w:sz w:val="1"/>
                <w:szCs w:val="1"/>
                <w:color w:val="auto"/>
              </w:rPr>
            </w:pPr>
          </w:p>
        </w:tc>
      </w:tr>
      <w:tr>
        <w:trPr>
          <w:trHeight w:val="237"/>
        </w:trPr>
        <w:tc>
          <w:tcPr>
            <w:tcW w:w="8460" w:type="dxa"/>
            <w:vAlign w:val="bottom"/>
          </w:tcPr>
          <w:p>
            <w:pPr>
              <w:ind w:left="600"/>
              <w:spacing w:after="0"/>
              <w:rPr>
                <w:sz w:val="20"/>
                <w:szCs w:val="20"/>
                <w:color w:val="auto"/>
              </w:rPr>
            </w:pPr>
            <w:r>
              <w:rPr>
                <w:rFonts w:ascii="Arial" w:cs="Arial" w:eastAsia="Arial" w:hAnsi="Arial"/>
                <w:sz w:val="18"/>
                <w:szCs w:val="18"/>
                <w:color w:val="auto"/>
              </w:rPr>
              <w:t>Net depreciable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55,919</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13,985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Land and mineral rights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16,802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16,640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86,706</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84,033</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of $267 and $238 in 2018 and 2017,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56"/>
        </w:trPr>
        <w:tc>
          <w:tcPr>
            <w:tcW w:w="8460" w:type="dxa"/>
            <w:vAlign w:val="bottom"/>
          </w:tcPr>
          <w:p>
            <w:pPr>
              <w:ind w:left="380"/>
              <w:spacing w:after="0"/>
              <w:rPr>
                <w:sz w:val="20"/>
                <w:szCs w:val="20"/>
                <w:color w:val="auto"/>
              </w:rPr>
            </w:pPr>
            <w:r>
              <w:rPr>
                <w:rFonts w:ascii="Arial" w:cs="Arial" w:eastAsia="Arial" w:hAnsi="Arial"/>
                <w:sz w:val="18"/>
                <w:szCs w:val="18"/>
                <w:color w:val="auto"/>
              </w:rPr>
              <w:t>Customer list, net of accumulated amortization</w:t>
            </w:r>
          </w:p>
        </w:tc>
        <w:tc>
          <w:tcPr>
            <w:tcW w:w="28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2,245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of $5,540 and $4,601 in 2018 and 2017,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7,349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Other Assets (1)</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24,962</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34,312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194,682</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42" w:lineRule="auto"/>
        <w:tabs>
          <w:tab w:leader="none" w:pos="27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Prior year amounts have been retrospectively adjusted to conform to the current year presentation of deferred income taxes required by new guidance under ASC 740,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See Note 1 of the Notes to the Consolidated Financial Statements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4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6,543</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1,627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8,974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1,280</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1,767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7,675</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30,949</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9"/>
              </w:rPr>
              <w:t>Notes payable, net of unamortized debt issuance costs of $60 and $89 in 2018 and 2017, respectively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6,107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6,100</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15,906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3,735</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31,848</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53,584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62,797</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5"/>
              </w:rPr>
              <w:t>Common Stock, par value $.10 per share, issued 8,086,849 shares in 2018 and 8,015,166 shares in 2017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809</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Class B Stock, convertible, par value $.10 per share, issued 2,468,979 shares in 2018 and 2,513,512 shares in</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38,473</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158,935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154,735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(10,384)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460" w:type="dxa"/>
            <w:vAlign w:val="bottom"/>
          </w:tcPr>
          <w:p>
            <w:pPr>
              <w:ind w:left="1260"/>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(10,615)</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Less treasury stock, at cost (2,914,092 Common and 324,741 Class B shares in 2018 and 2,907,370 Common</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(55,946)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324,741 Class B shares in 2017)</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(55,701)</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131,885</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194,682</w:t>
            </w:r>
          </w:p>
        </w:tc>
        <w:tc>
          <w:tcPr>
            <w:tcW w:w="44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460" w:type="dxa"/>
            <w:vAlign w:val="bottom"/>
          </w:tcPr>
          <w:p>
            <w:pPr>
              <w:ind w:left="562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4" w:name="page35"/>
    <w:bookmarkEnd w:id="34"/>
    <w:p>
      <w:pPr>
        <w:jc w:val="center"/>
        <w:ind w:right="-1200"/>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 July 31,</w:t>
            </w:r>
          </w:p>
        </w:tc>
      </w:tr>
      <w:tr>
        <w:trPr>
          <w:trHeight w:val="27"/>
        </w:trPr>
        <w:tc>
          <w:tcPr>
            <w:tcW w:w="6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6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(in thousands, except for per share</w:t>
            </w:r>
          </w:p>
        </w:tc>
      </w:t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data)</w:t>
            </w:r>
          </w:p>
        </w:tc>
        <w:tc>
          <w:tcPr>
            <w:tcW w:w="1080" w:type="dxa"/>
            <w:vAlign w:val="bottom"/>
          </w:tcPr>
          <w:p>
            <w:pPr>
              <w:spacing w:after="0"/>
              <w:rPr>
                <w:sz w:val="20"/>
                <w:szCs w:val="20"/>
                <w:color w:val="auto"/>
              </w:rPr>
            </w:pPr>
          </w:p>
        </w:tc>
      </w:tr>
      <w:tr>
        <w:trPr>
          <w:trHeight w:val="216"/>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266,000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262,307</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(193,998)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(188,595)</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72,002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73,712</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(57,332)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(58,482)</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14,670</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15,230</w:t>
            </w: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loss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613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14,866</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14,545</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(6,644)</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8,222</w:t>
            </w: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10,792</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8,240</w:t>
            </w:r>
          </w:p>
        </w:tc>
        <w:tc>
          <w:tcPr>
            <w:tcW w:w="1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10,792</w:t>
            </w:r>
          </w:p>
        </w:tc>
      </w:tr>
      <w:tr>
        <w:trPr>
          <w:trHeight w:val="365"/>
        </w:trPr>
        <w:tc>
          <w:tcPr>
            <w:tcW w:w="6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1"/>
        </w:trPr>
        <w:tc>
          <w:tcPr>
            <w:tcW w:w="69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0.91</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251"/>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65"/>
        </w:trPr>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69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5,036</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5,017</w:t>
            </w:r>
          </w:p>
        </w:tc>
      </w:tr>
      <w:tr>
        <w:trPr>
          <w:trHeight w:val="251"/>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6920" w:type="dxa"/>
            <w:vAlign w:val="bottom"/>
          </w:tcPr>
          <w:p>
            <w:pPr>
              <w:ind w:left="380"/>
              <w:spacing w:after="0"/>
              <w:rPr>
                <w:sz w:val="20"/>
                <w:szCs w:val="20"/>
                <w:color w:val="auto"/>
              </w:rPr>
            </w:pPr>
            <w:r>
              <w:rPr>
                <w:rFonts w:ascii="Arial" w:cs="Arial" w:eastAsia="Arial" w:hAnsi="Arial"/>
                <w:sz w:val="18"/>
                <w:szCs w:val="18"/>
                <w:color w:val="auto"/>
              </w:rPr>
              <w:t>Diluted Common</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7,222</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364" w:right="1440" w:bottom="1440" w:gutter="0" w:footer="0" w:header="0"/>
        </w:sectPr>
      </w:pPr>
    </w:p>
    <w:bookmarkStart w:id="35" w:name="page36"/>
    <w:bookmarkEnd w:id="35"/>
    <w:p>
      <w:pPr>
        <w:jc w:val="center"/>
        <w:ind w:right="-75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 July 31,</w:t>
            </w:r>
          </w:p>
        </w:tc>
      </w:tr>
      <w:tr>
        <w:trPr>
          <w:trHeight w:val="27"/>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20"/>
                <w:szCs w:val="20"/>
                <w:color w:val="auto"/>
              </w:rPr>
            </w:pPr>
          </w:p>
        </w:tc>
      </w:tr>
      <w:tr>
        <w:trPr>
          <w:trHeight w:val="216"/>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8,240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10,792</w:t>
            </w:r>
          </w:p>
        </w:tc>
      </w:tr>
      <w:tr>
        <w:trPr>
          <w:trHeight w:val="324"/>
        </w:trPr>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2,207</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3,540</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37"/>
        </w:trPr>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1,941</w:t>
            </w: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w:t>
            </w:r>
          </w:p>
        </w:tc>
      </w:tr>
      <w:tr>
        <w:trPr>
          <w:trHeight w:val="27"/>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10,181</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14,522</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60"/>
          </w:cols>
          <w:pgMar w:left="240" w:top="364" w:right="999" w:bottom="1440" w:gutter="0" w:footer="0" w:header="0"/>
        </w:sectPr>
      </w:pPr>
    </w:p>
    <w:bookmarkStart w:id="36" w:name="page37"/>
    <w:bookmarkEnd w:id="36"/>
    <w:p>
      <w:pPr>
        <w:jc w:val="center"/>
        <w:ind w:right="-45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2020" w:type="dxa"/>
            <w:vAlign w:val="bottom"/>
            <w:gridSpan w:val="4"/>
          </w:tcPr>
          <w:p>
            <w:pPr>
              <w:ind w:left="40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13"/>
                <w:szCs w:val="13"/>
                <w:color w:val="auto"/>
              </w:rPr>
            </w:pPr>
          </w:p>
        </w:tc>
        <w:tc>
          <w:tcPr>
            <w:tcW w:w="10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0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9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70"/>
        </w:trPr>
        <w:tc>
          <w:tcPr>
            <w:tcW w:w="1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2016</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10,497,978</w:t>
            </w: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(3,237,694)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1,050</w:t>
            </w: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34,294</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149,945</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(55,716)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(14,022)</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115,551</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10,792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10,792</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(6,002)</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7"/>
        </w:trPr>
        <w:tc>
          <w:tcPr>
            <w:tcW w:w="198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200"/>
              <w:spacing w:after="0"/>
              <w:rPr>
                <w:sz w:val="20"/>
                <w:szCs w:val="20"/>
                <w:color w:val="auto"/>
              </w:rPr>
            </w:pPr>
            <w:r>
              <w:rPr>
                <w:rFonts w:ascii="Arial" w:cs="Arial" w:eastAsia="Arial" w:hAnsi="Arial"/>
                <w:sz w:val="14"/>
                <w:szCs w:val="14"/>
                <w:color w:val="auto"/>
              </w:rPr>
              <w:t>long-term incentive plans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30,700</w:t>
            </w: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70"/>
        </w:trPr>
        <w:tc>
          <w:tcPr>
            <w:tcW w:w="1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2017</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10,528,678</w:t>
            </w: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(3,232,111)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1,053</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36,242</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154,735</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(55,701)</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(10,292)</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126,037</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8,240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8,222</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157"/>
        </w:trPr>
        <w:tc>
          <w:tcPr>
            <w:tcW w:w="198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upon adoption</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Pr>
          <w:p>
            <w:pPr>
              <w:ind w:left="40"/>
              <w:spacing w:after="0" w:line="149" w:lineRule="exact"/>
              <w:rPr>
                <w:sz w:val="20"/>
                <w:szCs w:val="20"/>
                <w:color w:val="auto"/>
              </w:rPr>
            </w:pPr>
            <w:r>
              <w:rPr>
                <w:rFonts w:ascii="Arial" w:cs="Arial" w:eastAsia="Arial" w:hAnsi="Arial"/>
                <w:sz w:val="14"/>
                <w:szCs w:val="14"/>
                <w:color w:val="auto"/>
                <w:w w:val="93"/>
              </w:rPr>
              <w:t>of accounting standard (see Note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40"/>
              <w:spacing w:after="0"/>
              <w:rPr>
                <w:sz w:val="20"/>
                <w:szCs w:val="20"/>
                <w:color w:val="auto"/>
              </w:rPr>
            </w:pPr>
            <w:r>
              <w:rPr>
                <w:rFonts w:ascii="Arial" w:cs="Arial" w:eastAsia="Arial" w:hAnsi="Arial"/>
                <w:sz w:val="14"/>
                <w:szCs w:val="14"/>
                <w:color w:val="auto"/>
              </w:rPr>
              <w:t>1)</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3"/>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issuance of stock under</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long-term incentive plans</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27,150</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256"/>
        </w:trPr>
        <w:tc>
          <w:tcPr>
            <w:tcW w:w="1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2018</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10,555,828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(3,238,833)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38,473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158,935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top w:val="single" w:sz="8" w:color="CCEEFF"/>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131,885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240" w:top="364" w:right="6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Year-Ended July 31,</w:t>
            </w:r>
          </w:p>
        </w:tc>
      </w:tr>
      <w:tr>
        <w:trPr>
          <w:trHeight w:val="27"/>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4"/>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8,222</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10,792</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r>
      <w:tr>
        <w:trPr>
          <w:trHeight w:val="243"/>
        </w:trPr>
        <w:tc>
          <w:tcPr>
            <w:tcW w:w="7520" w:type="dxa"/>
            <w:vAlign w:val="bottom"/>
          </w:tcPr>
          <w:p>
            <w:pPr>
              <w:ind w:left="600"/>
              <w:spacing w:after="0"/>
              <w:rPr>
                <w:sz w:val="20"/>
                <w:szCs w:val="20"/>
                <w:color w:val="auto"/>
              </w:rPr>
            </w:pPr>
            <w:r>
              <w:rPr>
                <w:rFonts w:ascii="Arial" w:cs="Arial" w:eastAsia="Arial" w:hAnsi="Arial"/>
                <w:sz w:val="18"/>
                <w:szCs w:val="18"/>
                <w:color w:val="auto"/>
              </w:rPr>
              <w:t>Amortization of investment discounts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Non-cash 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Excess tax benefits for share-based payments</w:t>
            </w:r>
          </w:p>
        </w:tc>
        <w:tc>
          <w:tcPr>
            <w:tcW w:w="26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43"/>
        </w:trPr>
        <w:tc>
          <w:tcPr>
            <w:tcW w:w="7520" w:type="dxa"/>
            <w:vAlign w:val="bottom"/>
          </w:tcPr>
          <w:p>
            <w:pPr>
              <w:ind w:left="620"/>
              <w:spacing w:after="0"/>
              <w:rPr>
                <w:sz w:val="20"/>
                <w:szCs w:val="20"/>
                <w:color w:val="auto"/>
              </w:rPr>
            </w:pPr>
            <w:r>
              <w:rPr>
                <w:rFonts w:ascii="Arial" w:cs="Arial" w:eastAsia="Arial" w:hAnsi="Arial"/>
                <w:sz w:val="18"/>
                <w:szCs w:val="18"/>
                <w:color w:val="auto"/>
              </w:rPr>
              <w:t>Provision for bad debts and cash discounts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Loss on the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7520" w:type="dxa"/>
            <w:vAlign w:val="bottom"/>
          </w:tcPr>
          <w:p>
            <w:pPr>
              <w:ind w:left="620"/>
              <w:spacing w:after="0"/>
              <w:rPr>
                <w:sz w:val="20"/>
                <w:szCs w:val="20"/>
                <w:color w:val="auto"/>
              </w:rPr>
            </w:pPr>
            <w:r>
              <w:rPr>
                <w:rFonts w:ascii="Arial" w:cs="Arial" w:eastAsia="Arial" w:hAnsi="Arial"/>
                <w:sz w:val="18"/>
                <w:szCs w:val="18"/>
                <w:color w:val="auto"/>
              </w:rPr>
              <w:t>Life insurance benefits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(Increase) decrease in: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(807)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Increase (decrease) in:</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Pension and postretirement benefits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(11,048)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7"/>
        </w:trPr>
        <w:tc>
          <w:tcPr>
            <w:tcW w:w="7520" w:type="dxa"/>
            <w:vAlign w:val="bottom"/>
          </w:tcPr>
          <w:p>
            <w:pPr>
              <w:ind w:left="600"/>
              <w:spacing w:after="0"/>
              <w:rPr>
                <w:sz w:val="20"/>
                <w:szCs w:val="20"/>
                <w:color w:val="auto"/>
              </w:rPr>
            </w:pPr>
            <w:r>
              <w:rPr>
                <w:rFonts w:ascii="Arial" w:cs="Arial" w:eastAsia="Arial" w:hAnsi="Arial"/>
                <w:sz w:val="18"/>
                <w:szCs w:val="18"/>
                <w:color w:val="auto"/>
              </w:rPr>
              <w:t>Total Adjustments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2,390</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16,157</w:t>
            </w: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10,612</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26,949</w:t>
            </w:r>
          </w:p>
        </w:tc>
      </w:tr>
      <w:tr>
        <w:trPr>
          <w:trHeight w:val="237"/>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(15,074)</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Acquisition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(35,911)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(47,531)</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Dispositions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52,492</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34,186</w:t>
            </w:r>
          </w:p>
        </w:tc>
      </w:tr>
      <w:tr>
        <w:trPr>
          <w:trHeight w:val="243"/>
        </w:trPr>
        <w:tc>
          <w:tcPr>
            <w:tcW w:w="7520" w:type="dxa"/>
            <w:vAlign w:val="bottom"/>
          </w:tcPr>
          <w:p>
            <w:pPr>
              <w:ind w:left="620"/>
              <w:spacing w:after="0"/>
              <w:rPr>
                <w:sz w:val="20"/>
                <w:szCs w:val="20"/>
                <w:color w:val="auto"/>
              </w:rPr>
            </w:pPr>
            <w:r>
              <w:rPr>
                <w:rFonts w:ascii="Arial" w:cs="Arial" w:eastAsia="Arial" w:hAnsi="Arial"/>
                <w:sz w:val="18"/>
                <w:szCs w:val="18"/>
                <w:color w:val="auto"/>
              </w:rPr>
              <w:t>Proceeds from life insurance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1,747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2,572</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(28,044)</w:t>
            </w:r>
          </w:p>
        </w:tc>
      </w:tr>
      <w:tr>
        <w:trPr>
          <w:trHeight w:val="237"/>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Principal payments on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(6,230)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(5,926)</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7520" w:type="dxa"/>
            <w:vAlign w:val="bottom"/>
          </w:tcPr>
          <w:p>
            <w:pPr>
              <w:ind w:left="62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Excess tax benefits for share-based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7"/>
        </w:trPr>
        <w:tc>
          <w:tcPr>
            <w:tcW w:w="752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(9,339)</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(8,550)</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3,662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(9,534)</w:t>
            </w: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9,095</w:t>
            </w:r>
          </w:p>
        </w:tc>
        <w:tc>
          <w:tcPr>
            <w:tcW w:w="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18,629</w:t>
            </w:r>
          </w:p>
        </w:tc>
      </w:tr>
      <w:tr>
        <w:trPr>
          <w:trHeight w:val="257"/>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12,757</w:t>
            </w:r>
          </w:p>
        </w:tc>
        <w:tc>
          <w:tcPr>
            <w:tcW w:w="3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9,095</w:t>
            </w: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920" w:top="364" w:right="91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060"/>
          </w:cols>
          <w:pgMar w:left="920" w:top="364" w:right="919" w:bottom="1440" w:gutter="0" w:footer="0" w:header="0"/>
          <w:type w:val="continuous"/>
        </w:sectPr>
      </w:pPr>
    </w:p>
    <w:bookmarkStart w:id="38" w:name="page39"/>
    <w:bookmarkEnd w:id="38"/>
    <w:tbl>
      <w:tblPr>
        <w:tblLayout w:type="fixed"/>
        <w:tblInd w:w="760" w:type="dxa"/>
        <w:tblCellMar>
          <w:top w:w="0" w:type="dxa"/>
          <w:left w:w="0" w:type="dxa"/>
          <w:bottom w:w="0" w:type="dxa"/>
          <w:right w:w="0" w:type="dxa"/>
        </w:tblCellMar>
      </w:tblPr>
      <w:tr>
        <w:trPr>
          <w:trHeight w:val="234"/>
        </w:trPr>
        <w:tc>
          <w:tcPr>
            <w:tcW w:w="7740" w:type="dxa"/>
            <w:vAlign w:val="bottom"/>
            <w:gridSpan w:val="3"/>
          </w:tcPr>
          <w:p>
            <w:pPr>
              <w:ind w:left="2220"/>
              <w:spacing w:after="0"/>
              <w:rPr>
                <w:sz w:val="20"/>
                <w:szCs w:val="20"/>
                <w:color w:val="auto"/>
              </w:rPr>
            </w:pPr>
            <w:r>
              <w:rPr>
                <w:rFonts w:ascii="Arial" w:cs="Arial" w:eastAsia="Arial" w:hAnsi="Arial"/>
                <w:sz w:val="18"/>
                <w:szCs w:val="18"/>
                <w:b w:val="1"/>
                <w:bCs w:val="1"/>
                <w:color w:val="auto"/>
                <w:w w:val="99"/>
              </w:rPr>
              <w:t>CONSOLIDATED STATEMENTS OF CASH FLOWS - CONTINUED</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0"/>
        </w:trPr>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8"/>
              </w:rPr>
              <w:t>Year-Ended July 31,</w:t>
            </w:r>
          </w:p>
        </w:tc>
      </w:tr>
      <w:tr>
        <w:trPr>
          <w:trHeight w:val="27"/>
        </w:trPr>
        <w:tc>
          <w:tcPr>
            <w:tcW w:w="7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2018</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3"/>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480"/>
              <w:spacing w:after="0"/>
              <w:rPr>
                <w:sz w:val="20"/>
                <w:szCs w:val="20"/>
                <w:color w:val="auto"/>
              </w:rPr>
            </w:pPr>
            <w:r>
              <w:rPr>
                <w:rFonts w:ascii="Arial" w:cs="Arial" w:eastAsia="Arial" w:hAnsi="Arial"/>
                <w:sz w:val="18"/>
                <w:szCs w:val="18"/>
                <w:color w:val="auto"/>
              </w:rPr>
              <w:t>Interest, net of amounts capitalized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282</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1,994</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Capital expenditures accrued, but not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997</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r>
      <w:tr>
        <w:trPr>
          <w:trHeight w:val="243"/>
        </w:trPr>
        <w:tc>
          <w:tcPr>
            <w:tcW w:w="7400" w:type="dxa"/>
            <w:vAlign w:val="bottom"/>
            <w:gridSpan w:val="2"/>
          </w:tcPr>
          <w:p>
            <w:pPr>
              <w:ind w:left="480"/>
              <w:spacing w:after="0"/>
              <w:rPr>
                <w:sz w:val="20"/>
                <w:szCs w:val="20"/>
                <w:color w:val="auto"/>
              </w:rPr>
            </w:pPr>
            <w:r>
              <w:rPr>
                <w:rFonts w:ascii="Arial" w:cs="Arial" w:eastAsia="Arial" w:hAnsi="Arial"/>
                <w:sz w:val="18"/>
                <w:szCs w:val="18"/>
                <w:color w:val="auto"/>
              </w:rPr>
              <w:t>Cash dividends declared and accrued, but not paid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1,627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80"/>
          </w:cols>
          <w:pgMar w:left="240" w:top="580" w:right="9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and for purification of petroleum-based oils. We also sell synthetic sorbents, which are used for industrial cleanup.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Our estimates and assumptions are revised periodically. Actual results could differ from these estimates. For more information see Critical Accounting Policies and Estimates in Item 7 </w:t>
      </w:r>
      <w:r>
        <w:rPr>
          <w:rFonts w:ascii="Arial" w:cs="Arial" w:eastAsia="Arial" w:hAnsi="Arial"/>
          <w:sz w:val="18"/>
          <w:szCs w:val="18"/>
          <w:i w:val="1"/>
          <w:iCs w:val="1"/>
          <w:color w:val="auto"/>
        </w:rPr>
        <w:t>“</w:t>
      </w:r>
      <w:r>
        <w:rPr>
          <w:rFonts w:ascii="Arial" w:cs="Arial" w:eastAsia="Arial" w:hAnsi="Arial"/>
          <w:sz w:val="18"/>
          <w:szCs w:val="18"/>
          <w:color w:val="auto"/>
        </w:rPr>
        <w:t>Management's Discussion and Analysis of Financial Condition and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composition of short-term investments as of July 31 (in thousands):</w:t>
      </w:r>
    </w:p>
    <w:p>
      <w:pPr>
        <w:spacing w:after="0" w:line="167"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13,976</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3,132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9,600</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investments have maturities of one year or less. We intend and have the ability to hold these investments to maturity; therefore, these investments are reported at amortized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items, but also took into consideration the overall value of the inventory as of the balance sheet date. We recorded inventory obsolescence reserves of approximately $1,136,000 and $619,000 as of July 31, 2018 and 2017, respectively. The reserve increased due to higher levels of discontinued, slow moving and unsaleable inventory.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inventories was as follows as of July 31 (in thousands):</w:t>
      </w:r>
    </w:p>
    <w:p>
      <w:pPr>
        <w:spacing w:after="0" w:line="167"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14,223</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14,704</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2,949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2,923</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22,521</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amortize most of our intangibles on a straight-line basis over periods ranging from 10 to 20 years. Our customer list intangible asset is amortized at an accelerated amortization rate in the earlier years to reflect the expected pattern of decline in the related benefits over time. Intangible amortization was $1,017,000 in fiscal year 2018 and $1,228,000 in fiscal year 2017. We have some intangible assets that were determined to have indefinite lives and are not amortized, specifically one acquired trademark recorded at $376,000.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2019</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2020</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9"/>
              </w:rPr>
              <w:t>2021</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2022</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2023</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10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of our intangibles subject to amortization is as follows (in years):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30"/>
        </w:trPr>
        <w:tc>
          <w:tcPr>
            <w:tcW w:w="49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7"/>
        </w:trPr>
        <w:tc>
          <w:tcPr>
            <w:tcW w:w="49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patents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15.9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6.8</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 our most recent impairment analysis we estimated the goodwill allocation and assigned $5,381,000 to the Retail and Wholesale Products Group and $3,881,000 to the Business to Business Products Group.</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performed our annual impairment testing in the fourth quarter of fiscal years 2018 and 2017. We will continue to consider the need to re-perform impairment testing throughout the year when circumstances such as unexpected adverse economic factors, unanticipated technological changes, competitive activities and acts by governments and courts indicate that an asset may become impaired. There was no impairment required based on our analysis for fiscal years 2018 or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$2,849,000 and $2,936,000 for fiscal years 2018 and 2017, respectively. We defer and amortize the pre-production overburden removal costs associated with opening a new mine. No pre-production overburden removal costs were deferred in the last two fiscal years.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$13,615,000 and $2,165,000, respectively, as of July 31, 2018, and were $13,453,000 and $2,165,000, respectively, as of July 31, 2017. Pre-production development costs on new mines and any prepaid royalties that may be offset against future royalties due upon extraction of the mineral are also capitalized. No material capitalized pre-production development costs were recorded in fiscal years 2018 and 2017. Prepaid royalties included in current prepaid expenses and in non-current other assets on the Consolidated Balance Sheets were approximately $1,167,000 and $1,122,000 as of July 31, 2018 and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Depreciation expense was $11,739,000 and $11,544,000 in fiscal years 2018 and 2017,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Capitalized interest was $176,000 and $80,000 in fiscal years 2018 and 2017, respectively.</w:t>
      </w:r>
    </w:p>
    <w:p>
      <w:pPr>
        <w:spacing w:after="0" w:line="130"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740" w:type="dxa"/>
        <w:tblCellMar>
          <w:top w:w="0" w:type="dxa"/>
          <w:left w:w="0" w:type="dxa"/>
          <w:bottom w:w="0" w:type="dxa"/>
          <w:right w:w="0" w:type="dxa"/>
        </w:tblCellMar>
      </w:tblPr>
      <w:tr>
        <w:trPr>
          <w:trHeight w:val="26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Packaging</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Processing</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Mining and other</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7"/>
        </w:trPr>
        <w:tc>
          <w:tcPr>
            <w:tcW w:w="4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No impairment was recorded in either fiscal year 2018 or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routinely commit to one-time or ongoing trade promotion programs, primarily in our Retail and Wholesale Products Group. All such costs are netted against sales. We have accrued liabilities at the end of each period for the estimated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$10,551,000 and $13,751,000 in fiscal years 2018 and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Non-derivative financial instruments included in the Consolidated Balance Sheets are cash and cash equivalents, short-term investments and notes payable. These instruments, except for notes payable, were carried at amounts approximating fair value as of July 31, 2018 and 2017. Short-term investments were certificates of deposits and treasury securities. We intend and have the ability to hold our short-term investments to maturity; therefore, these investments were reported at amortized cost on the Consolidated Balance Sheets, which approximated fair value. See Note 4 of the Notes to the Consolidated Financial Statements for additional information regarding the fair value of our financial instruments, including notes payable.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when risk of loss and title are transferred under the terms of our sales agreements with customers at a fixed and determinable price and collection of payment is probable. Taxes collected from customers and remitted to governmental authorities are excluded from net sales. Sales returns and allowances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$42,542,000 and $39,226,000 for fiscal years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$3,430,000 and $3,215,000 were charged to expense as incurred for fiscal years 2018 and 2017, respectively, and are recorded in selling,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funded status of our defined pension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8 of the Notes to the Consolidated Financial Statements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7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addition to existing valuation allowances, we provide for uncertain tax positions, if necessary,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5 of the Notes to the Consolidated Financial Statements for additional information about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the first quarter of fiscal year 2018, we adopted the FASB guidance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that simplified several aspects of the accounting for share-based payment transactions, including accounting for income taxes and classification of excess tax benefits in the statement of cash flows. As a result of implementing this guidance, we recognized $175,000 of excess tax benefits as a reduction of income tax expense for fiscal year 2018, rather than in Stockholders' Equity on the Consolidated Balance Sheets, and is classified in operating activities on the Consolidated Statements of Cash Flows. These changes have been applied prospectively in accordance with the guidance and prior period presentations have not been adjusted. The adoption resulted in approximately a 1% benefit to our effective tax rate for fiscal year 2018. In addition, we excluded the excess tax benefits from the assumed proceeds available to repurchase shares under the treasury stock method for the computation of diluted earnings per share. This change did not have a material impact on our diluted earnings per share for fiscal year 2018. The guidance allows for a policy election to either use estimated forfeitures or account for them as they occur to determine the amount of compensation cost to be recognized each period. We have elected to continue to account for forfeitures on an estimated basis. No other material changes resulted from the adoption of this standard.</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first quarter of fiscal year 2018, we adopted the FASB guidance under ASC 740,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which required deferred tax liabilities and assets to be classified as noncurrent in a classified statement of financial position. Prior periods presented were also restated. We reclassified $2,787,000 from Total Current Assets to Total Other Assets on the Consolidated Balance Sheets as of July 31, 2017.</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first quarter of fiscal year 2018, we adopted the FASB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required inventory to be measured at the lower of cost and net realizable value, which is defined as the estimated selling price in the ordinary course of business less reasonably predictable costs of completion, disposal and transportation. Adoption of this guidance did not have a material impact on our Consolidated Financial Statements.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the third quarter of fiscal year 2018, we early adopted the FASB guidance under ASC 220, </w:t>
      </w:r>
      <w:r>
        <w:rPr>
          <w:rFonts w:ascii="Arial" w:cs="Arial" w:eastAsia="Arial" w:hAnsi="Arial"/>
          <w:sz w:val="18"/>
          <w:szCs w:val="18"/>
          <w:i w:val="1"/>
          <w:iCs w:val="1"/>
          <w:color w:val="auto"/>
        </w:rPr>
        <w:t>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Accumulated Other Comprehensive Income. </w:t>
      </w:r>
      <w:r>
        <w:rPr>
          <w:rFonts w:ascii="Arial" w:cs="Arial" w:eastAsia="Arial" w:hAnsi="Arial"/>
          <w:sz w:val="18"/>
          <w:szCs w:val="18"/>
          <w:color w:val="auto"/>
        </w:rPr>
        <w:t>Current U.S. GAAP requires deferred tax liabilities and assets to be adjusted for a change in tax laws or rates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effect included in income from continuing operations, even when the deferred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4" w:name="page45"/>
    <w:bookmarkEnd w:id="44"/>
    <w:p>
      <w:pPr>
        <w:jc w:val="both"/>
        <w:spacing w:after="0" w:line="255" w:lineRule="auto"/>
        <w:rPr>
          <w:sz w:val="20"/>
          <w:szCs w:val="20"/>
          <w:color w:val="auto"/>
        </w:rPr>
      </w:pPr>
      <w:r>
        <w:rPr>
          <w:rFonts w:ascii="Arial" w:cs="Arial" w:eastAsia="Arial" w:hAnsi="Arial"/>
          <w:sz w:val="18"/>
          <w:szCs w:val="18"/>
          <w:color w:val="auto"/>
        </w:rPr>
        <w:t>taxes being remeasured were established through other comprehensive income. As a result, a disproportionate tax effect may remain in accumulated other comprehensive income. The new guidance under ASC 220 provided an option to reclassify from accumulated other comprehensive income to retained earnings the stranded tax effects that resulted from the 2017 Tax Act, which was enacted on December 22, 2017. Upon adoption of the guidance, we reclassified $2,264,000 from accumulated other comprehensive income to retained earnings on the Consolidated Balance Sheets. See Notes 6 and 5 of the Notes to the Consolidated Financial Statements for further information about our accumulated other comprehensive income and about the impact of the 2017 Tax Act,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was subsequently amended several times to further clarify the principles for recognizing revenue. The guidance requires entities to recognize revenue to depict the transfer of promised goods or services to customers in an amount that reflects the consideration to which the entity expects to be entitled to receive in exchange. Oil-Dri's revenue is generated from the sale of finished goods to customers. Those sales predominantly contain a single delivery obligation. Under Oil-Dri's current accounting policy, revenue is recognized at a single point in time when ownership, risks and rewards transfer. We are in the process of finalizing our assessment and documentation of our evaluation of the new standard. Based on our evaluation process completed to date and review of our contracts with customers, the timing and amount of revenue recognized under the new guidance is not significantly changed from our revenue recognition under previous guidance. We plan to adopt the standard at the beginning of our first quarter of fiscal year 2019 using the modified retrospective implementation method, and we will expand our financial statement disclosures as required. The adoption of this new guidance is not expected to have a material impact on our results operations, cash flows or financial position.</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January 2016, the FASB issued guidance under ASC 825,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This guidance addresses certain aspects of recognition, measurement, presentation and disclosure of financial instruments. This guidance is effective for our first quarter of fiscal year 2019. The provisions relevant to us relate to fair value disclosures for our notes payable, which are measured at amortized cost on the balance sheet. These provisions require the use of the exit price notion when measuring the fair value of financial instruments for disclosure purposes, as well as eliminate the requirement to disclose the method and significant assumptions used to estimate the fair value in such disclosure. This guidance impacts disclosures only and will not have a material impact on our Consolidated Financial Statements.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which requires presenting the service cost component of net periodic benefit cost in the same income statement line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 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Upon adoption of this guidance, we will separately present the components of net periodic benefit cost or income related to our pension plan and postretirement health plan, excluding the service cost component, in non-operating expenses on a retrospective basis. See Note 8 of the Notes to the Consolidated Financial Statements for further information about our pension and postretirement health plans.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OPERATING SEGMENTS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July 31,</w:t>
            </w:r>
          </w:p>
        </w:tc>
        <w:tc>
          <w:tcPr>
            <w:tcW w:w="88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1"/>
              </w:rPr>
              <w:t>Assets</w:t>
            </w:r>
          </w:p>
        </w:tc>
        <w:tc>
          <w:tcPr>
            <w:tcW w:w="88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65,143</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89,623</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90,508</w:t>
            </w: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 (1)</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39,916</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56,730</w:t>
            </w:r>
          </w:p>
        </w:tc>
      </w:tr>
      <w:tr>
        <w:trPr>
          <w:trHeight w:val="257"/>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194,682</w:t>
            </w:r>
          </w:p>
        </w:tc>
        <w:tc>
          <w:tcPr>
            <w:tcW w:w="2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b w:val="1"/>
                <w:bCs w:val="1"/>
                <w:color w:val="auto"/>
              </w:rPr>
              <w:t>Year Ended July 31,</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Net Sales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Income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3"/>
          </w:tcPr>
          <w:p>
            <w:pPr>
              <w:ind w:left="540"/>
              <w:spacing w:after="0"/>
              <w:rPr>
                <w:sz w:val="20"/>
                <w:szCs w:val="20"/>
                <w:color w:val="auto"/>
              </w:rPr>
            </w:pPr>
            <w:r>
              <w:rPr>
                <w:rFonts w:ascii="Arial" w:cs="Arial" w:eastAsia="Arial" w:hAnsi="Arial"/>
                <w:sz w:val="18"/>
                <w:szCs w:val="18"/>
                <w:b w:val="1"/>
                <w:bCs w:val="1"/>
                <w:color w:val="auto"/>
                <w:w w:val="88"/>
              </w:rPr>
              <w:t>(in thousands)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105,043</w:t>
            </w:r>
          </w:p>
        </w:tc>
        <w:tc>
          <w:tcPr>
            <w:tcW w:w="2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300"/>
              <w:spacing w:after="0"/>
              <w:rPr>
                <w:sz w:val="20"/>
                <w:szCs w:val="20"/>
                <w:color w:val="auto"/>
              </w:rPr>
            </w:pPr>
            <w:r>
              <w:rPr>
                <w:rFonts w:ascii="Arial" w:cs="Arial" w:eastAsia="Arial" w:hAnsi="Arial"/>
                <w:sz w:val="18"/>
                <w:szCs w:val="18"/>
                <w:color w:val="auto"/>
              </w:rPr>
              <w:t>100,419</w:t>
            </w:r>
          </w:p>
        </w:tc>
        <w:tc>
          <w:tcPr>
            <w:tcW w:w="22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35,120</w:t>
            </w:r>
          </w:p>
        </w:tc>
        <w:tc>
          <w:tcPr>
            <w:tcW w:w="2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33,343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160,957</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161,888</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6,975</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266,000</w:t>
            </w:r>
          </w:p>
        </w:tc>
        <w:tc>
          <w:tcPr>
            <w:tcW w:w="2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262,307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(27,425)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14,670</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14,866</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(6,644)</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8,222</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8,240</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following is a summary by fiscal year of financial information by geographic region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640" w:type="dxa"/>
            <w:vAlign w:val="bottom"/>
            <w:vMerge w:val="restart"/>
          </w:tcPr>
          <w:p>
            <w:pPr>
              <w:ind w:left="160"/>
              <w:spacing w:after="0"/>
              <w:rPr>
                <w:sz w:val="20"/>
                <w:szCs w:val="20"/>
                <w:color w:val="auto"/>
              </w:rPr>
            </w:pPr>
            <w:r>
              <w:rPr>
                <w:rFonts w:ascii="Arial" w:cs="Arial" w:eastAsia="Arial" w:hAnsi="Arial"/>
                <w:sz w:val="18"/>
                <w:szCs w:val="18"/>
                <w:color w:val="auto"/>
              </w:rPr>
              <w:t>Sales to unaffiliated customers by:</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Domestic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254,158</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249,772</w:t>
            </w:r>
          </w:p>
        </w:tc>
        <w:tc>
          <w:tcPr>
            <w:tcW w:w="0" w:type="dxa"/>
            <w:vAlign w:val="bottom"/>
          </w:tcPr>
          <w:p>
            <w:pPr>
              <w:spacing w:after="0"/>
              <w:rPr>
                <w:sz w:val="1"/>
                <w:szCs w:val="1"/>
                <w:color w:val="auto"/>
              </w:rPr>
            </w:pPr>
          </w:p>
        </w:tc>
      </w:tr>
      <w:tr>
        <w:trPr>
          <w:trHeight w:val="243"/>
        </w:trPr>
        <w:tc>
          <w:tcPr>
            <w:tcW w:w="464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11,842</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or transfers between geographic areas: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600"/>
              <w:spacing w:after="0"/>
              <w:rPr>
                <w:sz w:val="20"/>
                <w:szCs w:val="20"/>
                <w:color w:val="auto"/>
              </w:rPr>
            </w:pPr>
            <w:r>
              <w:rPr>
                <w:rFonts w:ascii="Arial" w:cs="Arial" w:eastAsia="Arial" w:hAnsi="Arial"/>
                <w:sz w:val="18"/>
                <w:szCs w:val="18"/>
                <w:color w:val="auto"/>
              </w:rPr>
              <w:t>Domestic operations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5,570</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14,742</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14,524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640" w:type="dxa"/>
            <w:vAlign w:val="bottom"/>
          </w:tcPr>
          <w:p>
            <w:pPr>
              <w:ind w:left="160"/>
              <w:spacing w:after="0"/>
              <w:rPr>
                <w:sz w:val="20"/>
                <w:szCs w:val="20"/>
                <w:color w:val="auto"/>
              </w:rPr>
            </w:pPr>
            <w:r>
              <w:rPr>
                <w:rFonts w:ascii="Arial" w:cs="Arial" w:eastAsia="Arial" w:hAnsi="Arial"/>
                <w:sz w:val="18"/>
                <w:szCs w:val="18"/>
                <w:color w:val="auto"/>
              </w:rPr>
              <w:t>Net Income (Loss) attributable to Oil-Dri:</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Domestic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8,249</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43"/>
        </w:trPr>
        <w:tc>
          <w:tcPr>
            <w:tcW w:w="464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640"/>
              <w:spacing w:after="0"/>
              <w:rPr>
                <w:sz w:val="20"/>
                <w:szCs w:val="20"/>
                <w:color w:val="auto"/>
              </w:rPr>
            </w:pPr>
            <w:r>
              <w:rPr>
                <w:rFonts w:ascii="Arial" w:cs="Arial" w:eastAsia="Arial" w:hAnsi="Arial"/>
                <w:sz w:val="18"/>
                <w:szCs w:val="18"/>
                <w:color w:val="auto"/>
              </w:rPr>
              <w:t>Domestic operations (1)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185,361</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204,547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9,321</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20" w:firstLine="8"/>
        <w:spacing w:after="0" w:line="290" w:lineRule="auto"/>
        <w:tabs>
          <w:tab w:leader="none" w:pos="26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Prior year amounts have been retrospectively adjusted to conform to the current year presentation of debt issuance costs required by new guidance under ASC 835, </w:t>
      </w:r>
      <w:r>
        <w:rPr>
          <w:rFonts w:ascii="Arial" w:cs="Arial" w:eastAsia="Arial" w:hAnsi="Arial"/>
          <w:sz w:val="17"/>
          <w:szCs w:val="17"/>
          <w:i w:val="1"/>
          <w:iCs w:val="1"/>
          <w:color w:val="auto"/>
        </w:rPr>
        <w:t>Simplifying the Presentation of Debt Issuance Cost.</w:t>
      </w:r>
      <w:r>
        <w:rPr>
          <w:rFonts w:ascii="Arial" w:cs="Arial" w:eastAsia="Arial" w:hAnsi="Arial"/>
          <w:sz w:val="17"/>
          <w:szCs w:val="17"/>
          <w:color w:val="auto"/>
        </w:rPr>
        <w:t xml:space="preserve"> See Note 1 of the Notes to the Consolidated Financial Statements for details.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20%</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accounts receivable as of July 31</w:t>
            </w: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21"/>
                <w:szCs w:val="21"/>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28%</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040" w:type="dxa"/>
            <w:vAlign w:val="bottom"/>
            <w:gridSpan w:val="3"/>
          </w:tcPr>
          <w:p>
            <w:pPr>
              <w:ind w:left="660"/>
              <w:spacing w:after="0"/>
              <w:rPr>
                <w:sz w:val="20"/>
                <w:szCs w:val="20"/>
                <w:color w:val="auto"/>
              </w:rPr>
            </w:pPr>
            <w:r>
              <w:rPr>
                <w:rFonts w:ascii="Arial" w:cs="Arial" w:eastAsia="Arial" w:hAnsi="Arial"/>
                <w:sz w:val="18"/>
                <w:szCs w:val="18"/>
                <w:color w:val="auto"/>
                <w:w w:val="91"/>
              </w:rPr>
              <w:t>There are no other customers with sales equal to or greater than 10% of our total sales.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NOTE 3 – DEBT</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3"/>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gridSpan w:val="5"/>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1"/>
              </w:rPr>
              <w:t>Senior notes payable in annual principal installments on August 1: $3,083 in each fiscal year 2019 through 2021.</w:t>
            </w:r>
          </w:p>
        </w:tc>
        <w:tc>
          <w:tcPr>
            <w:tcW w:w="80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is payable semiannually at an annual rate of 3.96%</w:t>
            </w: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vMerge w:val="continue"/>
            <w:shd w:val="clear" w:color="auto" w:fill="CCEEFF"/>
          </w:tcPr>
          <w:p>
            <w:pPr>
              <w:spacing w:after="0"/>
              <w:rPr>
                <w:sz w:val="20"/>
                <w:szCs w:val="20"/>
                <w:color w:val="auto"/>
              </w:rPr>
            </w:pPr>
          </w:p>
        </w:tc>
        <w:tc>
          <w:tcPr>
            <w:tcW w:w="86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w:t>
            </w:r>
          </w:p>
        </w:tc>
        <w:tc>
          <w:tcPr>
            <w:tcW w:w="0" w:type="dxa"/>
            <w:vAlign w:val="bottom"/>
          </w:tcPr>
          <w:p>
            <w:pPr>
              <w:spacing w:after="0"/>
              <w:rPr>
                <w:sz w:val="1"/>
                <w:szCs w:val="1"/>
                <w:color w:val="auto"/>
              </w:rPr>
            </w:pPr>
          </w:p>
        </w:tc>
      </w:tr>
      <w:tr>
        <w:trPr>
          <w:trHeight w:val="243"/>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Less current maturities of notes payable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704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7"/>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Noncurrent notes payable</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6,107</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issued senior promissory notes in November 2010 for $18,500,000. The note agreement provides that the proceeds could be used to fund future principal payments on debt, acquisitions, stock repurchases, capital expenditures and working capital purposes. The note agreement contains restrictions against certain activities, among other things and under various conditions, as well as financial covenants, including a minimum fixed charges coverage ratio and a minimum consolidated debt ratio.</w:t>
      </w: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 As of July 31, 2018, the variable rates would have been 5.00% for the BMO Harris’ prime-based rate or 3.34% for the LIBOR-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6"/>
          <w:szCs w:val="16"/>
          <w:color w:val="auto"/>
        </w:rPr>
        <w:t>based rate. The credit agreement contains restrictive covenants that, among other things and under various conditions, limit our ability to incur additional indebtedness or to dispose of assets. The agreement also requires us to maintain a minimum fixed coverage ratio, a minimum consolidated net worth and a minimum consolidated debt ratio. We borrowed $6,000,000 at a weighted average interest rate of 2.96% under the credit agreement during the third quarter of fiscal year 2018. The amount borrowed was repaid in the fourth quarter of fiscal year 2018. The proceeds from the borrowing were used to make a voluntary contribution to our pension plan. As of July 31, 2018 and 2017, there were no outstanding borrowings under this credit agreement; however, there was a total of $1,236,000 allocated for guarantees required by one of our insurance policies and by a state environmental regulation.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 We were in compliance with all restrictive covenants and limitations as of July 31,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principal maturities of notes payable as of July 31, 2018 (in thousands):</w:t>
      </w:r>
    </w:p>
    <w:p>
      <w:pPr>
        <w:spacing w:after="0" w:line="158"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178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89"/>
              </w:rPr>
              <w:t>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1780" w:type="dxa"/>
            <w:vAlign w:val="bottom"/>
          </w:tcPr>
          <w:p>
            <w:pPr>
              <w:jc w:val="right"/>
              <w:ind w:right="1310"/>
              <w:spacing w:after="0"/>
              <w:rPr>
                <w:sz w:val="20"/>
                <w:szCs w:val="20"/>
                <w:color w:val="auto"/>
              </w:rPr>
            </w:pPr>
            <w:r>
              <w:rPr>
                <w:rFonts w:ascii="Arial" w:cs="Arial" w:eastAsia="Arial" w:hAnsi="Arial"/>
                <w:sz w:val="18"/>
                <w:szCs w:val="18"/>
                <w:color w:val="auto"/>
                <w:w w:val="89"/>
              </w:rPr>
              <w:t>2020</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78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89"/>
              </w:rPr>
              <w:t>2021</w:t>
            </w: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37"/>
        </w:trPr>
        <w:tc>
          <w:tcPr>
            <w:tcW w:w="17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9,250</w:t>
            </w:r>
          </w:p>
        </w:tc>
      </w:tr>
      <w:tr>
        <w:trPr>
          <w:trHeight w:val="27"/>
        </w:trPr>
        <w:tc>
          <w:tcPr>
            <w:tcW w:w="17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12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420" w:hanging="45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960" w:right="20" w:hanging="931"/>
        <w:spacing w:after="0" w:line="264" w:lineRule="auto"/>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Cash equivalents were $9,920,000 and $3,814,000 as of July 31, 2018 and 2017, respectively. These cash instruments are primarily money market funds and are included in cash and cash equivalents on the Consolidated Balance Sheets.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Short-term investments on the Consolidated Balance Sheets include certificates of deposit and treasury securities. We intend and have the ability to hold our short-term investments to maturity; therefore, these investments were reported at amortized cost on the Consolidated Balance Sheets, which approximated fair value as of July 31, 2018 and 2017. These balances are excluded from the above table.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as of July 31, 2018 and 2017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$9,553,000 as of July 31, 2018 and $13,001,000 as of July 31, 2017. Our debt does not trade on a daily basis in an active market, therefore the fair value of notes payable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estimated based on market observable borrowing rates currently available for debt with similar terms and average maturities and is classified as Level 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short-term investments and accounts receivable. Our cash is held in banks which are covered by the Federal Deposit Insurance Corporation; however, our cash balances are in excess of the maximum amount that is insured. Our short-term investments are placed in government-backed instruments and with other high quality institutions.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 however, we require letters of credit for some foreign customers or we purchase insurance to reduce our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by fiscal year consists of the following (in thousands):</w:t>
      </w:r>
    </w:p>
    <w:p>
      <w:pPr>
        <w:spacing w:after="0" w:line="16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4380" w:type="dxa"/>
            <w:vAlign w:val="bottom"/>
          </w:tcPr>
          <w:p>
            <w:pPr>
              <w:ind w:left="480"/>
              <w:spacing w:after="0"/>
              <w:rPr>
                <w:sz w:val="20"/>
                <w:szCs w:val="20"/>
                <w:color w:val="auto"/>
              </w:rPr>
            </w:pPr>
            <w:r>
              <w:rPr>
                <w:rFonts w:ascii="Arial" w:cs="Arial" w:eastAsia="Arial" w:hAnsi="Arial"/>
                <w:sz w:val="18"/>
                <w:szCs w:val="18"/>
                <w:color w:val="auto"/>
              </w:rPr>
              <w:t>Current Income Tax Total</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4,696</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380" w:type="dxa"/>
            <w:vAlign w:val="bottom"/>
          </w:tcPr>
          <w:p>
            <w:pPr>
              <w:ind w:left="2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Income Tax 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57"/>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Total Income Tax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6,644</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22, 2017, the U.S. government enacted the the 2017 Tax Act. The 2017 Tax Act included a number of changes to existing U.S. tax laws that impact us, most notably a reduction of the U.S. corporate income tax rate and acceleration of depreciation for certain assets placed into service after September 27, 2017, as well as prospective changes, including repeal of the domestic manufacturing deduction and capitalization of research and development expenditures. The 2017 Tax Act reduced the U.S. federal corporate tax rate from 35.0% to 21.0% for all corporations effective January 1, 2018. For fiscal year companies, the change in law requires the application of a blended rate for each quarter of the fiscal year of enactment. We applied a blended tax rate of 26.9% for fiscal year 2018. For fiscal years thereafter, the applicable statutory rate is 21.0%. In addition, during fiscal year 2018 the change in the U.S. corporate income tax rate caused us to adjust our U.S. net deferred tax assets to the reduced U.S. federal corporate tax rate and to record a provisional charge as a discrete item in the provision for income taxes. This transitional impact resulted in a provisional net charge of $3,996,000 in fiscal year 2018.</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guidance established a one-year measurement period (through December 22, 2018) where provisional amounts could be subject to adjustment. We are continuing to analyze the impact of the 2017 Tax Act. As such, our financial results reflect reasonable estimates of items for which the income tax effects of the 2017 Tax Act have not been completed as of July 31, 2018. Adjustments to the provisional charges will be recorded as discrete items in the provision for income taxes in the period in when those adjustments become reasonably estimable and/or the accounting is complete.</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2017 Tax Act also included a one-time transition tax on cumulative unrepatriated foreign earnings. Based on information available, we estimated our unrepatriated foreign earnings represent a cumulative loss and therefore no additional income tax expense was recorded related to this provision.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by fiscal year were as follows:</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26.9 %</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Depletion deductions allowed for mining</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(12.8)</w:t>
            </w:r>
          </w:p>
        </w:tc>
      </w:tr>
      <w:tr>
        <w:trPr>
          <w:trHeight w:val="27"/>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expense</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Difference in effective tax rate of foreign subsidiaries</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0.1</w:t>
            </w:r>
          </w:p>
        </w:tc>
        <w:tc>
          <w:tcPr>
            <w:tcW w:w="2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income taxes</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Change in federal tax rate applied to deferred tax assets and liabilities</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26.8</w:t>
            </w:r>
          </w:p>
        </w:tc>
        <w:tc>
          <w:tcPr>
            <w:tcW w:w="2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 for domestic production activities</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(0.3)</w:t>
            </w:r>
          </w:p>
        </w:tc>
        <w:tc>
          <w:tcPr>
            <w:tcW w:w="2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6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income tax rate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44.7 %</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0"/>
        </w:trPr>
        <w:tc>
          <w:tcPr>
            <w:tcW w:w="6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2018</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2017</w:t>
            </w:r>
          </w:p>
        </w:tc>
        <w:tc>
          <w:tcPr>
            <w:tcW w:w="10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Assets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Liabilities</w:t>
            </w: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3,284</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5,888</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Deferred marketing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Reclamation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foreign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(789)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adjustment to reflect the reduced U.S. federal corporate tax rate under the 2017 Tax Act impacted the deferred tax amounts in the table above, particularly deferred taxes for depreciation, deferred compensation and postretirement benefits. Deferred taxes for postretirement benefits were also affected by a voluntary contribution that significantly reduced our pension liability. Deferred taxes for deferred compensation were also impacted by the large payout of balances in accordance with plan provisions during fiscal 2018. See Notes 8 and 9 of the Notes to the Consolidated Financial Statements for further information about our postretirement benefits and deferred compensation liabilities, respectively.</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recorded a valuation allowance of $789,000 and $793,000 as of July 31, 2018 and July 31, 2017, respectively, for the amount of the deferred tax benefit related to our foreign net operating loss carryforwards since we believe it is unlikely we will realize the benefit of these tax attributes in the future. As of July 31, 2018, we have total net operating loss carryforwards from state jurisdictions of approximately $6,800,000. No valuation allowance has been established for these carryforwards since we expect our future profitability will allow us to fully realize these tax benefits.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foreign subsidiaries in the United Kingdom and China have not generated any untaxed foreign income, therefore we have not provided for any related income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jc w:val="both"/>
        <w:ind w:firstLine="648"/>
        <w:spacing w:after="0" w:line="264" w:lineRule="auto"/>
        <w:rPr>
          <w:sz w:val="20"/>
          <w:szCs w:val="20"/>
          <w:color w:val="auto"/>
        </w:rPr>
      </w:pPr>
      <w:r>
        <w:rPr>
          <w:rFonts w:ascii="Arial" w:cs="Arial" w:eastAsia="Arial" w:hAnsi="Arial"/>
          <w:sz w:val="18"/>
          <w:szCs w:val="18"/>
          <w:color w:val="auto"/>
        </w:rPr>
        <w:t>We had no liability for unrecognized tax benefits based on tax positions related to the current and prior fiscal years as of July 31, 2018 and 2017; correspondingly, no related interest and penalties were recognized as income tax expense and there were no accruals for such items in either of these fiscal years.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Our federal income tax returns for fiscal year 2016 was under examination as of July 31, 2018 and returns for fiscal years 2015 and 2017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as of July 31, 2018 and 2017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share-by-share basis into Common Stock at any time and is subject to mandatory conversion under certain circumstances.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3 of the Notes to the Consolidated Financial Statements regarding dividend restrictions provided in our debt agreements.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authorized in the aggregate the repurchase of 3,966,771 shares of the Company stock since fiscal year 1991. Through fiscal year-end 2018, 3,365,949 shares of Common Stock and 342,241 shares of Class B Stock have been repurchased under the Board approved repurchase authorizations. Common Stock was repurchased by other transactions authorized by management prior to the adoption of the Board’s repurchase authorizations.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Pension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Health Benefits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w w:val="93"/>
              </w:rPr>
              <w:t>Other comprehensive income before reclassifications, net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2,384</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2,574</w:t>
            </w: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w w:val="91"/>
              </w:rPr>
              <w:t>Net current-period other comprehensive income, net of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3,540</w:t>
            </w: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1,310</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3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1,044</w:t>
            </w: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w w:val="92"/>
              </w:rPr>
              <w:t>Net current-period other comprehensive income (loss), net</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2,207</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1,941</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Reclassification to retained earnings upon adoption of</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6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standard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5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(10,384)</w:t>
            </w: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(10,615)</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Amounts are net of taxes of $413,000 and $1,461,000 in fiscal years 2018 and 2017, respectively, and are included in Other Comprehensive Loss.</w:t>
      </w:r>
    </w:p>
    <w:p>
      <w:pPr>
        <w:spacing w:after="0" w:line="34"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are net of taxes of $373,000 and $709,000 in fiscal years 2018 and 2017, respectively. Amounts are included in the components of net periodic benefit cost for the pension and postretirement health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of the Notes to the Consolidated Financial Statements for further information about pension and postretirement health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determined the fair value of stock options and restricted stock issued under our long term incentive plans as of the grant date. The fair value of restricted stock was determined by the closing market price of our Common Stock on the date of grant multiplied by the number of shares granted.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and past exercise behavior.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 described in the restricted stock section below. As of July 31, 2018, there were 366,658 shares available for future grants under this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3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2016</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2017</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1"/>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and exercisable at July 31, 2018</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amount of cash received from the exercise of options during fiscal year 2017 was $170,000 and the related tax benefit was $80,000.</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related compensation expense was recognized over the period from the date of grant to the date when the award is no longer contingent on the employee providing additional service to us. No stock-based compensation expense related to stock options was recognized during either fiscal year 2018 or 2017.</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non-vested restricted stock as of July 31, 2018 was issued under the 2006 Plan with vesting periods generally from two to five years.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2016</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4,282</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2017</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3,893</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42.59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35.90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2018</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3,050</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Stock-based compensation for restricted stock of $1,349,000 and $934,000, net of related tax effect, was recognized in fiscal years 2018 and 2017, respectively. The total restricted stock compensation related tax benefit was $426,000 and $573,000 in fiscal years 2018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under the Oil-Dri Corporation of America Employee Benefits Plan until the date certain criteria are met, including attaining the age of Medicare eligibility.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have the right to modify or terminate the postretirement health benefit plan at any time.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$782,000 and $746,000 for fiscal years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by fiscal year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53,742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55,124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2,925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2,746</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(1,409)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54,267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2,925</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27,457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13,204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40,971</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27,457</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“Cash Flows” below for further information about employer contributions and benefits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accumulated benefit obligation for the Pension Plan was $48,358,000 and $47,880,000 as of July 31, 2018 and July 31, 2017,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Postretirement Health</w:t>
            </w:r>
          </w:p>
        </w:tc>
      </w:tr>
      <w:tr>
        <w:trPr>
          <w:trHeight w:val="234"/>
        </w:trPr>
        <w:tc>
          <w:tcPr>
            <w:tcW w:w="4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8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Accumulated other comprehensive loss – net of tax:</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702"/>
        </w:trPr>
        <w:tc>
          <w:tcPr>
            <w:tcW w:w="470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components of the net periodic pension and postretirement health benefit costs by fiscal year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5"/>
              </w:rPr>
              <w:t>Postretirement Health</w:t>
            </w:r>
          </w:p>
        </w:tc>
      </w:t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20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Benefit Cost</w:t>
            </w:r>
          </w:p>
        </w:tc>
      </w:tr>
      <w:tr>
        <w:trPr>
          <w:trHeight w:val="27"/>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costs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Other actuarial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3,743</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net of tax, that are recognized in other comprehensive income by fiscal year (in thousands):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Amortization of actuarial loss (gain)</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(1,133)</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recognized in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shows amortization amounts, net of tax, expected to be recognized in fiscal year 2019 in accumulated other comprehensive income (in thousands):</w:t>
      </w:r>
    </w:p>
    <w:p>
      <w:pPr>
        <w:spacing w:after="0" w:line="8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61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to be recognized as 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During fiscal 2018, we made an $11,500,000 voluntary contribution in excess of the minimum required amount. This contribution was made within eight and one-half months after the end of our fiscal year 2017 and therefore was deductible for our 2017 tax year. We received a greater tax benefit for this deduction in our 2017 tax year compared to the the benefit we would have received if the contribution was attributed to our 2018 tax year. See Note 5 of the Notes to the Consolidated Financial Statements for further discussion of the tax rates and other changes enacted by the 2017 Tax Act. This voluntary contribution also improved our funded status and contributed to a lower net periodic benefit expense for fiscal year 2018 compared to fiscal 2017.</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do not expect to make a contribution to the Pension Plan in fiscal year 2019. The postretirement health plan is an unfunded plan. Our policy is to pay insurance premiums and claims from our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The following table shows the estimated future benefit payments by fiscal year (in thousands):</w:t>
      </w:r>
    </w:p>
    <w:p>
      <w:pPr>
        <w:spacing w:after="0" w:line="167"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Pension</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b w:val="1"/>
                <w:bCs w:val="1"/>
                <w:color w:val="auto"/>
              </w:rPr>
              <w:t>Benefits</w:t>
            </w: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1,699</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1,904</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2024-28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13,139</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1,360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6540" w:type="dxa"/>
            <w:vAlign w:val="bottom"/>
          </w:tcPr>
          <w:p>
            <w:pPr>
              <w:spacing w:after="0"/>
              <w:rPr>
                <w:sz w:val="20"/>
                <w:szCs w:val="20"/>
                <w:color w:val="auto"/>
              </w:rPr>
            </w:pPr>
          </w:p>
        </w:tc>
        <w:tc>
          <w:tcPr>
            <w:tcW w:w="250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2018</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7"/>
              </w:rPr>
              <w:t>3.26%</w:t>
            </w:r>
          </w:p>
        </w:tc>
        <w:tc>
          <w:tcPr>
            <w:tcW w:w="154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2.71%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4.04%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3.81%</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3.26%</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discount rate was based on the FTSE Pension Discount Curve to determine separately for the Pension Plan and the postretirement health plan, the single equivalent rate that would yield the same present value as the specific plan’s expected cash flows.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2018, the medical cost trend assumption used for the postretirement health benefit cost was 7.2%. The graded trend rate is expected to decrease to an ultimate rate of 4.5% in fiscal year 2036.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in fiscal year 2018 of a one-percentage point change in the assumed health care cost trend (in thousands):</w:t>
      </w: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4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total service and interest cost</w:t>
            </w:r>
          </w:p>
        </w:tc>
        <w:tc>
          <w:tcPr>
            <w:tcW w:w="32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Effect on accumulated postretirement benefit obligation</w:t>
            </w:r>
          </w:p>
        </w:tc>
        <w:tc>
          <w:tcPr>
            <w:tcW w:w="3200" w:type="dxa"/>
            <w:vAlign w:val="bottom"/>
            <w:gridSpan w:val="2"/>
          </w:tcPr>
          <w:p>
            <w:pPr>
              <w:jc w:val="right"/>
              <w:ind w:right="870"/>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21"/>
                <w:szCs w:val="21"/>
                <w:color w:val="auto"/>
              </w:rPr>
            </w:pP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$(243)</w:t>
            </w:r>
          </w:p>
        </w:tc>
      </w:tr>
      <w:tr>
        <w:trPr>
          <w:trHeight w:val="702"/>
        </w:trPr>
        <w:tc>
          <w:tcPr>
            <w:tcW w:w="444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2019 and the actual allocation as of July 31:</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00" w:type="dxa"/>
            <w:vAlign w:val="bottom"/>
          </w:tcPr>
          <w:p>
            <w:pPr>
              <w:ind w:left="1120"/>
              <w:spacing w:after="0"/>
              <w:rPr>
                <w:sz w:val="20"/>
                <w:szCs w:val="20"/>
                <w:color w:val="auto"/>
              </w:rPr>
            </w:pPr>
            <w:r>
              <w:rPr>
                <w:rFonts w:ascii="Arial" w:cs="Arial" w:eastAsia="Arial" w:hAnsi="Arial"/>
                <w:sz w:val="18"/>
                <w:szCs w:val="18"/>
                <w:b w:val="1"/>
                <w:bCs w:val="1"/>
                <w:color w:val="auto"/>
              </w:rPr>
              <w:t>Asset Allocation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accrued income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44%</w:t>
            </w: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56%</w:t>
            </w:r>
          </w:p>
        </w:tc>
      </w:tr>
      <w:tr>
        <w:trPr>
          <w:trHeight w:val="675"/>
        </w:trPr>
        <w:tc>
          <w:tcPr>
            <w:tcW w:w="360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The following table sets forth by level, within the fair value hierarchy, the Pension Plan's assets carried at fair value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2018</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0"/>
        </w:trPr>
        <w:tc>
          <w:tcPr>
            <w:tcW w:w="672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Bonds</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(f)</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0"/>
        </w:trPr>
        <w:tc>
          <w:tcPr>
            <w:tcW w:w="6720" w:type="dxa"/>
            <w:vAlign w:val="bottom"/>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(h)</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57"/>
        </w:trPr>
        <w:tc>
          <w:tcPr>
            <w:tcW w:w="67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40,971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31,193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2017</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Bonds</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(f)</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70"/>
        </w:trPr>
        <w:tc>
          <w:tcPr>
            <w:tcW w:w="6720" w:type="dxa"/>
            <w:vAlign w:val="bottom"/>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(h)</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57"/>
        </w:trPr>
        <w:tc>
          <w:tcPr>
            <w:tcW w:w="672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6,149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395"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40" w:top="395" w:right="299" w:bottom="1440" w:gutter="0" w:footer="0" w:header="0"/>
          <w:type w:val="continuous"/>
        </w:sectPr>
      </w:pPr>
    </w:p>
    <w:bookmarkStart w:id="58" w:name="page59"/>
    <w:bookmarkEnd w:id="58"/>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mutual funds seek to track the performance of a benchmark index that measures the investment return of stock issued by companies located in emerging market countries.</w:t>
      </w: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class includes bonds of U.S. and non-U.S. corporate issuers from diverse industries and bonds of domestic and foreign municipalities.</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generally not backed by the full faith and credit of the United States government, except for securities valued at $443,000 in our portfolio as of July 31, 2018 and $577,000 as of July 31, 2017.</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2"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class seeks long-term positive returns by employing a number of arbitrage and alternative investment strategies. The portfolio of instruments may include equities, debt securities, warrants, options, swaps, future contracts, forwards or other types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$578,000 and $677,000 into these plans in fiscal years 2018 and 2017, respectively. We recorded $371,000 and $404,000 of interest expense associated with these plans in fiscal years 2018 and 2017, respectively. Payments to participants were $6,010,000 and $581,000 in fiscal years 2018 and 2017, respectively, and the total liability recorded for deferred compensation was $4,218,000 and $9,617,000 as of July 31, 2018 and 2017, respectively.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A total of $609,000 and $583,000 were awarded to certain executives for fiscal years 2018 and 2017, respectively. These awards will vest and accrue interest over a three-year period.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8 of the Notes to the Consolidated Financial Statements. The SERP liability was $2,169,000 and $2,082,000 as of July 31, 2018 and July 31, 2017, respectively. We recorded expense related to the SERP of $87,000 and $114,000 in fiscal years 2018 and 2017, respectively. The SERP is unfunded and benefits will be funded when payments are made.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financial condition, results of operations or cash flows. See Item 3 </w:t>
      </w:r>
      <w:r>
        <w:rPr>
          <w:rFonts w:ascii="Arial" w:cs="Arial" w:eastAsia="Arial" w:hAnsi="Arial"/>
          <w:sz w:val="18"/>
          <w:szCs w:val="18"/>
          <w:i w:val="1"/>
          <w:iCs w:val="1"/>
          <w:color w:val="auto"/>
        </w:rPr>
        <w:t>“</w:t>
      </w:r>
      <w:r>
        <w:rPr>
          <w:rFonts w:ascii="Arial" w:cs="Arial" w:eastAsia="Arial" w:hAnsi="Arial"/>
          <w:sz w:val="18"/>
          <w:szCs w:val="18"/>
          <w:color w:val="auto"/>
        </w:rPr>
        <w:t>Legal Proceedings</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about specific legal matters related to our patents.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mining operations are conducted on property we lease or own. These leases generally provide us with the right to mine as long as we continue to pay a minimum monthly rental, which is typically applied against the per ton royalty when the property is mined. We also lease certain offices and production facilities. In addition, we may lease vehicles, railcars, mining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property and equipment, warehouse space, data processing equipment, and office equipment. In most cases, we expect that, in the normal course of business, leases will be renewed or replaced by other leases.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by fiscal year of future minimum rent requirements under operating leases that have initial or remaining non-cancelable lease terms in excess of one year as of July 31, 2018 (in thousands):</w:t>
      </w:r>
    </w:p>
    <w:p>
      <w:pPr>
        <w:spacing w:after="0" w:line="104" w:lineRule="exact"/>
        <w:rPr>
          <w:sz w:val="20"/>
          <w:szCs w:val="20"/>
          <w:color w:val="auto"/>
        </w:rPr>
      </w:pPr>
    </w:p>
    <w:tbl>
      <w:tblPr>
        <w:tblLayout w:type="fixed"/>
        <w:tblInd w:w="3960" w:type="dxa"/>
        <w:tblCellMar>
          <w:top w:w="0" w:type="dxa"/>
          <w:left w:w="0" w:type="dxa"/>
          <w:bottom w:w="0" w:type="dxa"/>
          <w:right w:w="0" w:type="dxa"/>
        </w:tblCellMar>
      </w:tblPr>
      <w:tr>
        <w:trPr>
          <w:trHeight w:val="270"/>
        </w:trPr>
        <w:tc>
          <w:tcPr>
            <w:tcW w:w="1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r>
      <w:tr>
        <w:trPr>
          <w:trHeight w:val="243"/>
        </w:trPr>
        <w:tc>
          <w:tcPr>
            <w:tcW w:w="1700" w:type="dxa"/>
            <w:vAlign w:val="bottom"/>
          </w:tcPr>
          <w:p>
            <w:pPr>
              <w:ind w:left="260"/>
              <w:spacing w:after="0"/>
              <w:rPr>
                <w:sz w:val="20"/>
                <w:szCs w:val="20"/>
                <w:color w:val="auto"/>
              </w:rPr>
            </w:pPr>
            <w:r>
              <w:rPr>
                <w:rFonts w:ascii="Arial" w:cs="Arial" w:eastAsia="Arial" w:hAnsi="Arial"/>
                <w:sz w:val="18"/>
                <w:szCs w:val="18"/>
                <w:color w:val="auto"/>
              </w:rPr>
              <w:t>2020</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7"/>
        </w:trPr>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43"/>
        </w:trPr>
        <w:tc>
          <w:tcPr>
            <w:tcW w:w="1700" w:type="dxa"/>
            <w:vAlign w:val="bottom"/>
          </w:tcPr>
          <w:p>
            <w:pPr>
              <w:ind w:left="260"/>
              <w:spacing w:after="0"/>
              <w:rPr>
                <w:sz w:val="20"/>
                <w:szCs w:val="20"/>
                <w:color w:val="auto"/>
              </w:rPr>
            </w:pPr>
            <w:r>
              <w:rPr>
                <w:rFonts w:ascii="Arial" w:cs="Arial" w:eastAsia="Arial" w:hAnsi="Arial"/>
                <w:sz w:val="18"/>
                <w:szCs w:val="18"/>
                <w:color w:val="auto"/>
              </w:rPr>
              <w:t>2022</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43"/>
        </w:trPr>
        <w:tc>
          <w:tcPr>
            <w:tcW w:w="170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7,810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 expense by fiscal year for all operating leases, including those with terms of one month or less which were not renewed (in thousands):</w:t>
      </w:r>
    </w:p>
    <w:p>
      <w:pPr>
        <w:spacing w:after="0" w:line="112"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320"/>
              <w:spacing w:after="0"/>
              <w:rPr>
                <w:sz w:val="20"/>
                <w:szCs w:val="20"/>
                <w:color w:val="auto"/>
              </w:rPr>
            </w:pPr>
            <w:r>
              <w:rPr>
                <w:rFonts w:ascii="Arial" w:cs="Arial" w:eastAsia="Arial" w:hAnsi="Arial"/>
                <w:sz w:val="18"/>
                <w:szCs w:val="18"/>
                <w:color w:val="auto"/>
              </w:rPr>
              <w:t>Vehicles and Railcars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1,404</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4700" w:type="dxa"/>
            <w:vAlign w:val="bottom"/>
          </w:tcPr>
          <w:p>
            <w:pPr>
              <w:ind w:left="320"/>
              <w:spacing w:after="0"/>
              <w:rPr>
                <w:sz w:val="20"/>
                <w:szCs w:val="20"/>
                <w:color w:val="auto"/>
              </w:rPr>
            </w:pPr>
            <w:r>
              <w:rPr>
                <w:rFonts w:ascii="Arial" w:cs="Arial" w:eastAsia="Arial" w:hAnsi="Arial"/>
                <w:sz w:val="18"/>
                <w:szCs w:val="18"/>
                <w:color w:val="auto"/>
              </w:rPr>
              <w:t>Warehouse facilities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Mining properties: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Minimum</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Contingent (1)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4700" w:type="dxa"/>
            <w:vAlign w:val="bottom"/>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3,203</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ind w:left="1300"/>
        <w:spacing w:after="0"/>
        <w:rPr>
          <w:sz w:val="20"/>
          <w:szCs w:val="20"/>
          <w:color w:val="auto"/>
        </w:rPr>
      </w:pPr>
      <w:r>
        <w:rPr>
          <w:rFonts w:ascii="Arial" w:cs="Arial" w:eastAsia="Arial" w:hAnsi="Arial"/>
          <w:sz w:val="18"/>
          <w:szCs w:val="18"/>
          <w:color w:val="auto"/>
        </w:rPr>
        <w:t>(1) Contingent mining royalty payments are determined based on the tons of raw clay mined.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5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PARTIES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One member of our Board of Directors is currently the President and Chief Executive Officer of a customer of ours. Total net sales to that customer, including sales to subsidiaries of that customer, were $388,000 and $395,000 for fiscal years 2018 and 2017, respectively. There were $14,000 outstanding accounts receivable due from that customer, and its subsidiaries, as of July 31, 2018. There was no outstanding amount due from that customer, and its subsidiaries, as of July 31,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member of our Board of Directors is currently the President and Chief Executive Officer of a vendor of ours. Total payments to this vendor for fees and cost reimbursements were $229,000 and $321,000 for fiscal years 2018 and 2017, respectively. There were no outstanding amounts due to that vendor as of July 31, 2018. There were $19,000 outstanding accounts payable due to that vendor as of July 31,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issued by the Committee Sponsoring Organizations of the Treadway Commission (COSO). Based on our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July 31, 2018.</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2018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Opinions on the financial statements and internal control over financial reporting</w:t>
      </w:r>
    </w:p>
    <w:p>
      <w:pPr>
        <w:spacing w:after="0" w:line="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Oil-Dri Corporation of America (a Delaware corporation) and subsidiaries (the Company) as of July 31, 2018 and 2017, and the related consolidated statements of operations comprehensive income, stockholders’ equity, and cash flows for each of the two years in the period ended July 31, 2018, and the related notes and financial statement schedules included under Item 15(a)(2) (collectively referred to as the “financial statements”). We also have audited the Company’s internal control over financial reporting as of July 31, 2018, based on criteria established in the 2013 Internal Control-Integrated Framework issued by the Committee of Sponsoring Organizations of the Treadway Commission (COSO).</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Company as of July 31, 2018 and 2017, and the results of its operations and its cash flows for each of the three years in the period ended July 31, 2018, in conformity with accounting principles generally accepted in the United States of America. Also in our opinion, the Company maintained, in all material respects, effective internal control over financial reporting as of July 31, 2018, based on criteria established in the 2013 Internal Control-Integrated Framework issued by COSO.</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Basis for opinions</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Definition and limitations of internal control over financial reporting</w:t>
      </w:r>
    </w:p>
    <w:p>
      <w:pPr>
        <w:spacing w:after="0" w:line="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2018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2018 annual meeting of stockholders under the captions “Executive Compensation,” “Report of the Compensation Committee of the Board of Directors,” “Director Compensation,”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7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Except as set forth herein, </w:t>
      </w:r>
      <w:r>
        <w:rPr>
          <w:rFonts w:ascii="Arial" w:cs="Arial" w:eastAsia="Arial" w:hAnsi="Arial"/>
          <w:sz w:val="21"/>
          <w:szCs w:val="21"/>
          <w:color w:val="auto"/>
        </w:rPr>
        <w:t>t</w:t>
      </w:r>
      <w:r>
        <w:rPr>
          <w:rFonts w:ascii="Arial" w:cs="Arial" w:eastAsia="Arial" w:hAnsi="Arial"/>
          <w:sz w:val="18"/>
          <w:szCs w:val="18"/>
          <w:color w:val="auto"/>
        </w:rPr>
        <w:t>he information required by this Item is contained in Oil-Dri’s Proxy Statement for its 2018 annual meeting of stockholders under the captions “Principal Stockholders,” “Security Ownership of Management” and “Equity Compensation Plans” and is incorporated herein by reference.</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There are no outstanding stock options as of July 31, 2018. See Note 7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July 31, 2018</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further issuance under</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 of</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outstanding options (in</w:t>
            </w:r>
          </w:p>
        </w:tc>
        <w:tc>
          <w:tcPr>
            <w:tcW w:w="1880" w:type="dxa"/>
            <w:vAlign w:val="bottom"/>
            <w:gridSpan w:val="2"/>
            <w:vMerge w:val="continue"/>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thousands)</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price of outstanding options</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 (in thousands)</w:t>
            </w:r>
          </w:p>
        </w:tc>
        <w:tc>
          <w:tcPr>
            <w:tcW w:w="0" w:type="dxa"/>
            <w:vAlign w:val="bottom"/>
          </w:tcPr>
          <w:p>
            <w:pPr>
              <w:spacing w:after="0"/>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367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 The number of securities remaining reported in prior years did not include shares from either of these events. The information above as of July 31, 2018 has been adjusted to include these shares.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2018 annual meeting of stockholders under the captions “Certain Relationships and Related Party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2018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6" w:name="page67"/>
    <w:bookmarkEnd w:id="6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2018 and July 31, 2017.</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2018 and July 31, 2017.</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Comprehensive Income for the fiscal years ended July 31, 2018 and July 31, 2017.</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Stockholders’ Equity for the fiscal years ended July 31, 2018 and July 31, 2017.</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2018 and July 31, 2017.</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the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2018 and July 31, 2017.</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(a)(3)</w:t>
      </w:r>
      <w:r>
        <w:rPr>
          <w:sz w:val="20"/>
          <w:szCs w:val="20"/>
          <w:color w:val="auto"/>
        </w:rPr>
        <w:tab/>
      </w:r>
      <w:r>
        <w:rPr>
          <w:rFonts w:ascii="Arial" w:cs="Arial" w:eastAsia="Arial" w:hAnsi="Arial"/>
          <w:sz w:val="16"/>
          <w:szCs w:val="16"/>
          <w:color w:val="auto"/>
        </w:rPr>
        <w:t>The following documents are exhibits to this Report:</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Incorporated by reference to Exhibit 4.1 to Oil-Dri’s Registration</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Statement on Form S-8 (Registration No. 333-57625), filed on June</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24, 1998.</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5600" w:space="720"/>
            <w:col w:w="5080"/>
          </w:cols>
          <w:pgMar w:left="240" w:top="580" w:right="259" w:bottom="1440" w:gutter="0" w:footer="0" w:header="0"/>
          <w:type w:val="continuous"/>
        </w:sectPr>
      </w:pPr>
    </w:p>
    <w:p>
      <w:pPr>
        <w:spacing w:after="0" w:line="89" w:lineRule="exact"/>
        <w:rPr>
          <w:rFonts w:ascii="Arial" w:cs="Arial" w:eastAsia="Arial" w:hAnsi="Arial"/>
          <w:sz w:val="18"/>
          <w:szCs w:val="18"/>
          <w:u w:val="single" w:color="auto"/>
          <w:color w:val="0000FF"/>
        </w:rPr>
      </w:pPr>
    </w:p>
    <w:p>
      <w:pPr>
        <w:ind w:left="130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12, 2017.</w:t>
      </w:r>
    </w:p>
    <w:p>
      <w:pPr>
        <w:spacing w:after="0" w:line="279" w:lineRule="exact"/>
        <w:rPr>
          <w:rFonts w:ascii="Arial" w:cs="Arial" w:eastAsia="Arial" w:hAnsi="Arial"/>
          <w:sz w:val="18"/>
          <w:szCs w:val="18"/>
          <w:u w:val="single" w:color="auto"/>
          <w:color w:val="0000FF"/>
        </w:rPr>
      </w:pPr>
    </w:p>
    <w:p>
      <w:pPr>
        <w:jc w:val="both"/>
        <w:ind w:left="1300" w:hanging="994"/>
        <w:spacing w:after="0" w:line="275"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w:t>
      </w:r>
      <w:r>
        <w:rPr>
          <w:rFonts w:ascii="Arial" w:cs="Arial" w:eastAsia="Arial" w:hAnsi="Arial"/>
          <w:sz w:val="18"/>
          <w:szCs w:val="18"/>
          <w:color w:val="auto"/>
        </w:rPr>
        <w:t>®</w:t>
      </w:r>
      <w:r>
        <w:rPr>
          <w:rFonts w:ascii="Arial" w:cs="Arial" w:eastAsia="Arial" w:hAnsi="Arial"/>
          <w:sz w:val="17"/>
          <w:szCs w:val="17"/>
          <w:color w:val="auto"/>
        </w:rPr>
        <w:t xml:space="preserve"> dated as of March 12, 2001 between A&amp;M Products Manufacturing Company and Oil-Dri (confidential treatment of certain portions of this exhibit has been granted).</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9" w:lineRule="exact"/>
        <w:rPr>
          <w:rFonts w:ascii="Arial" w:cs="Arial" w:eastAsia="Arial" w:hAnsi="Arial"/>
          <w:sz w:val="18"/>
          <w:szCs w:val="18"/>
          <w:u w:val="single" w:color="auto"/>
          <w:color w:val="0000FF"/>
        </w:rPr>
      </w:pPr>
    </w:p>
    <w:p>
      <w:pPr>
        <w:ind w:right="20"/>
        <w:spacing w:after="0" w:line="277" w:lineRule="auto"/>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Incorporated by reference to Exhibit 3 to Oil-Dri’s (file No. 001-</w:t>
        </w:r>
      </w:hyperlink>
      <w:hyperlink r:id="rId12">
        <w:r>
          <w:rPr>
            <w:rFonts w:ascii="Arial" w:cs="Arial" w:eastAsia="Arial" w:hAnsi="Arial"/>
            <w:sz w:val="18"/>
            <w:szCs w:val="18"/>
            <w:u w:val="single" w:color="auto"/>
            <w:color w:val="0000FF"/>
          </w:rPr>
          <w:t>12622) Quarterly Report on Form 10-Q filed on March 9, 2018.</w:t>
        </w:r>
      </w:hyperlink>
    </w:p>
    <w:p>
      <w:pPr>
        <w:spacing w:after="0" w:line="279" w:lineRule="exact"/>
        <w:rPr>
          <w:sz w:val="20"/>
          <w:szCs w:val="20"/>
          <w:color w:val="auto"/>
        </w:rPr>
      </w:pPr>
    </w:p>
    <w:p>
      <w:pPr>
        <w:spacing w:after="0" w:line="277"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Incorporated by reference to Exhibit 10(s) to Oil-Dri’s (File No. 001-</w:t>
        </w:r>
      </w:hyperlink>
      <w:hyperlink r:id="rId13">
        <w:r>
          <w:rPr>
            <w:rFonts w:ascii="Arial" w:cs="Arial" w:eastAsia="Arial" w:hAnsi="Arial"/>
            <w:sz w:val="18"/>
            <w:szCs w:val="18"/>
            <w:u w:val="single" w:color="auto"/>
            <w:color w:val="0000FF"/>
          </w:rPr>
          <w:t>12622) Current Report on Form 8-K filed on May 1, 2001.</w:t>
        </w:r>
      </w:hyperlink>
    </w:p>
    <w:p>
      <w:pPr>
        <w:spacing w:after="0" w:line="631"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93" w:lineRule="exact"/>
        <w:rPr>
          <w:sz w:val="20"/>
          <w:szCs w:val="20"/>
          <w:color w:val="auto"/>
        </w:rPr>
      </w:pPr>
    </w:p>
    <w:p>
      <w:pPr>
        <w:jc w:val="both"/>
        <w:ind w:left="1300" w:hanging="994"/>
        <w:spacing w:after="0" w:line="265"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 2001.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Incorporated by reference to Exhibit 10.2 to Oil-Dri’s (File No. 001-</w:t>
        </w:r>
      </w:hyperlink>
      <w:hyperlink r:id="rId14">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31, 2007.</w:t>
        </w:r>
      </w:hyperlink>
    </w:p>
    <w:p>
      <w:pPr>
        <w:spacing w:after="0" w:line="215" w:lineRule="exact"/>
        <w:rPr>
          <w:rFonts w:ascii="Arial" w:cs="Arial" w:eastAsia="Arial" w:hAnsi="Arial"/>
          <w:sz w:val="18"/>
          <w:szCs w:val="18"/>
          <w:u w:val="single" w:color="auto"/>
          <w:color w:val="0000FF"/>
        </w:rPr>
      </w:pPr>
    </w:p>
    <w:p>
      <w:pPr>
        <w:sectPr>
          <w:pgSz w:w="11900" w:h="16838" w:orient="portrait"/>
          <w:cols w:equalWidth="0" w:num="2">
            <w:col w:w="5920" w:space="400"/>
            <w:col w:w="5080"/>
          </w:cols>
          <w:pgMar w:left="240" w:top="580" w:right="259" w:bottom="1440" w:gutter="0" w:footer="0" w:header="0"/>
          <w:type w:val="continuous"/>
        </w:sectPr>
      </w:pPr>
    </w:p>
    <w:p>
      <w:pPr>
        <w:spacing w:after="0" w:line="3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580" w:right="25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Second  Amendment,  dated  as  of  October  15,  2007,  to</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Memorandum of Agreement #1450 “Fresh Step”</w:t>
            </w:r>
            <w:r>
              <w:rPr>
                <w:rFonts w:ascii="Arial" w:cs="Arial" w:eastAsia="Arial" w:hAnsi="Arial"/>
                <w:sz w:val="19"/>
                <w:szCs w:val="19"/>
                <w:color w:val="auto"/>
                <w:w w:val="94"/>
              </w:rPr>
              <w:t>®</w:t>
            </w:r>
            <w:r>
              <w:rPr>
                <w:rFonts w:ascii="Arial" w:cs="Arial" w:eastAsia="Arial" w:hAnsi="Arial"/>
                <w:sz w:val="18"/>
                <w:szCs w:val="18"/>
                <w:color w:val="auto"/>
                <w:w w:val="94"/>
              </w:rPr>
              <w:t xml:space="preserve"> dated as of</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March 12, 2001 (confidential treatment of certain portions of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this exhibit has been granted).</w:t>
            </w:r>
          </w:p>
        </w:tc>
      </w:tr>
      <w:tr>
        <w:trPr>
          <w:trHeight w:val="5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Third Amendment, dated as of May 27, 2016, to Memorandum</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2001 (confidential treatment of certain portions of this exhibit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have been requested).</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9"/>
              </w:rPr>
              <w:t>Exclusive Supply Agreement dated May 19, 1999 between</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Church &amp; Dwight Co., Inc. and Oil-Dri (confidential treatment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certain portions of this exhibit has been granted).</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9"/>
              </w:rPr>
              <w:t>Credit  Agreement,  dated  January  27,  2006  among  the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Company, certain subsidiaries of the Company and Harris N.A.</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dated as of December 19, 2008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Second Amendment, dated as of December 21, 2011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Third  Amendment,  dated  as  of  June  21,  2012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Fourth Amendment, dated as of December 4, 2014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$18,500,000 Note Agreement dated as of November 12, 2010</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among  Oil-Dri  Corporation  of  America,  The  Prudential</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Insurance  Company  of  America,  Prudential  Retirement</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Insurance and Annuity Company, Forethought Life Insurance</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1"/>
              </w:rPr>
              <w:t>Company, Physicians Mutual Insurance Company and BCBSM,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 dba Blue Cross and Blue Shield of Minnesota.</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Incorporated by reference to Exhibit 10.1 to Oil-Dri’s (File No. 001-</w:t>
        </w:r>
      </w:hyperlink>
      <w:hyperlink r:id="rId16">
        <w:r>
          <w:rPr>
            <w:rFonts w:ascii="Arial" w:cs="Arial" w:eastAsia="Arial" w:hAnsi="Arial"/>
            <w:sz w:val="18"/>
            <w:szCs w:val="18"/>
            <w:u w:val="single" w:color="auto"/>
            <w:color w:val="0000FF"/>
          </w:rPr>
          <w:t>12622) Quarterly Report on Form 10-Q for the quarter ended October</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31, 2007.</w:t>
        </w:r>
      </w:hyperlink>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Incorporated by reference to Exhibit 10.4 to Oil-Dri’s (File No. 001-</w:t>
        </w:r>
      </w:hyperlink>
      <w:hyperlink r:id="rId17">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31, 2016.</w:t>
        </w:r>
      </w:hyperlink>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Incorporated by reference to Exhibit (10)(r) to Oil-Dri’s (File No.</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001-12622) Annual Report on Form 10-K for the fiscal year ended</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July 31, 1999.</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19">
        <w:r>
          <w:rPr>
            <w:rFonts w:ascii="Arial" w:cs="Arial" w:eastAsia="Arial" w:hAnsi="Arial"/>
            <w:sz w:val="17"/>
            <w:szCs w:val="17"/>
            <w:u w:val="single" w:color="auto"/>
            <w:color w:val="0000FF"/>
          </w:rPr>
          <w:t>Incorporated by reference to Exhibit 10.1 to Oil-Dri’s (File No. 001-</w:t>
        </w:r>
      </w:hyperlink>
      <w:hyperlink r:id="rId19">
        <w:r>
          <w:rPr>
            <w:rFonts w:ascii="Arial" w:cs="Arial" w:eastAsia="Arial" w:hAnsi="Arial"/>
            <w:sz w:val="17"/>
            <w:szCs w:val="17"/>
            <w:u w:val="single" w:color="auto"/>
            <w:color w:val="0000FF"/>
          </w:rPr>
          <w:t>12622) Current Report on Form 8-K filed on February 1, 2006.</w:t>
        </w:r>
      </w:hyperlink>
    </w:p>
    <w:p>
      <w:pPr>
        <w:spacing w:after="0" w:line="255"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Incorporated by reference to Exhibit 10.1 to Oil-Dri’s (File No. 001-</w:t>
        </w:r>
      </w:hyperlink>
      <w:hyperlink r:id="rId20">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31, 2009.</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21">
        <w:r>
          <w:rPr>
            <w:rFonts w:ascii="Arial" w:cs="Arial" w:eastAsia="Arial" w:hAnsi="Arial"/>
            <w:sz w:val="17"/>
            <w:szCs w:val="17"/>
            <w:u w:val="single" w:color="auto"/>
            <w:color w:val="0000FF"/>
          </w:rPr>
          <w:t>Incorporated by reference to Exhibit 10 to Oil-Dri’s (File No. 001-</w:t>
        </w:r>
      </w:hyperlink>
      <w:hyperlink r:id="rId21">
        <w:r>
          <w:rPr>
            <w:rFonts w:ascii="Arial" w:cs="Arial" w:eastAsia="Arial" w:hAnsi="Arial"/>
            <w:sz w:val="17"/>
            <w:szCs w:val="17"/>
            <w:u w:val="single" w:color="auto"/>
            <w:color w:val="0000FF"/>
          </w:rPr>
          <w:t>12622) Current Report on Form 8-K filed on December 28, 2011.</w:t>
        </w:r>
      </w:hyperlink>
    </w:p>
    <w:p>
      <w:pPr>
        <w:spacing w:after="0" w:line="255"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Incorporated by reference to Exhibit 10.12 to Oil-Dri’s (File No. 001-</w:t>
        </w:r>
      </w:hyperlink>
      <w:hyperlink r:id="rId22">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31, 2012.</w:t>
        </w:r>
      </w:hyperlink>
    </w:p>
    <w:p>
      <w:pPr>
        <w:spacing w:after="0" w:line="31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Incorporated by reference to Exhibit 10.1 to Oil-Dri’s (File No. 001-</w:t>
        </w:r>
      </w:hyperlink>
      <w:hyperlink r:id="rId23">
        <w:r>
          <w:rPr>
            <w:rFonts w:ascii="Arial" w:cs="Arial" w:eastAsia="Arial" w:hAnsi="Arial"/>
            <w:sz w:val="18"/>
            <w:szCs w:val="18"/>
            <w:u w:val="single" w:color="auto"/>
            <w:color w:val="0000FF"/>
          </w:rPr>
          <w:t>12622) Quarterly Report on Form 10-Q for the quarter ended October</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31, 2014.</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24">
        <w:r>
          <w:rPr>
            <w:rFonts w:ascii="Arial" w:cs="Arial" w:eastAsia="Arial" w:hAnsi="Arial"/>
            <w:sz w:val="17"/>
            <w:szCs w:val="17"/>
            <w:u w:val="single" w:color="auto"/>
            <w:color w:val="0000FF"/>
          </w:rPr>
          <w:t>Incorporated by reference to Exhibit 10.1 to Oil-Dri’s (File No. 001-</w:t>
        </w:r>
      </w:hyperlink>
      <w:hyperlink r:id="rId24">
        <w:r>
          <w:rPr>
            <w:rFonts w:ascii="Arial" w:cs="Arial" w:eastAsia="Arial" w:hAnsi="Arial"/>
            <w:sz w:val="17"/>
            <w:szCs w:val="17"/>
            <w:u w:val="single" w:color="auto"/>
            <w:color w:val="0000FF"/>
          </w:rPr>
          <w:t>12622) Current Report on Form 8-K filed on November 16, 2010.</w:t>
        </w:r>
      </w:hyperlink>
    </w:p>
    <w:p>
      <w:pPr>
        <w:spacing w:after="0" w:line="1009" w:lineRule="exact"/>
        <w:rPr>
          <w:sz w:val="20"/>
          <w:szCs w:val="20"/>
          <w:color w:val="auto"/>
        </w:rPr>
      </w:pPr>
    </w:p>
    <w:p>
      <w:pPr>
        <w:sectPr>
          <w:pgSz w:w="11900" w:h="16838" w:orient="portrait"/>
          <w:cols w:equalWidth="0" w:num="2">
            <w:col w:w="5960" w:space="360"/>
            <w:col w:w="5080"/>
          </w:cols>
          <w:pgMar w:left="240" w:top="530" w:right="259" w:bottom="1440" w:gutter="0" w:footer="0" w:header="0"/>
        </w:sectPr>
      </w:pP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10.12</w:t>
            </w:r>
          </w:p>
        </w:tc>
        <w:tc>
          <w:tcPr>
            <w:tcW w:w="5340" w:type="dxa"/>
            <w:vAlign w:val="bottom"/>
          </w:tcPr>
          <w:p>
            <w:pPr>
              <w:ind w:left="320"/>
              <w:spacing w:after="0"/>
              <w:rPr>
                <w:sz w:val="20"/>
                <w:szCs w:val="20"/>
                <w:color w:val="auto"/>
              </w:rPr>
            </w:pPr>
            <w:r>
              <w:rPr>
                <w:rFonts w:ascii="Arial" w:cs="Arial" w:eastAsia="Arial" w:hAnsi="Arial"/>
                <w:sz w:val="18"/>
                <w:szCs w:val="18"/>
                <w:color w:val="auto"/>
              </w:rPr>
              <w:t>Description  of  1987  Executive  Deferred  Compensation</w:t>
            </w:r>
          </w:p>
        </w:tc>
        <w:tc>
          <w:tcPr>
            <w:tcW w:w="506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(10)(f) to Oil-Dri’s (File No.</w:t>
            </w:r>
          </w:p>
        </w:tc>
      </w:tr>
      <w:tr>
        <w:trPr>
          <w:trHeight w:val="216"/>
        </w:trPr>
        <w:tc>
          <w:tcPr>
            <w:tcW w:w="720" w:type="dxa"/>
            <w:vAlign w:val="bottom"/>
          </w:tcPr>
          <w:p>
            <w:pPr>
              <w:spacing w:after="0"/>
              <w:rPr>
                <w:sz w:val="18"/>
                <w:szCs w:val="18"/>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Program.*</w:t>
            </w:r>
          </w:p>
        </w:tc>
        <w:tc>
          <w:tcPr>
            <w:tcW w:w="5060" w:type="dxa"/>
            <w:vAlign w:val="bottom"/>
            <w:gridSpan w:val="2"/>
          </w:tcPr>
          <w:p>
            <w:pPr>
              <w:spacing w:after="0"/>
              <w:rPr>
                <w:sz w:val="20"/>
                <w:szCs w:val="20"/>
                <w:color w:val="auto"/>
              </w:rPr>
            </w:pPr>
            <w:r>
              <w:rPr>
                <w:rFonts w:ascii="Arial" w:cs="Arial" w:eastAsia="Arial" w:hAnsi="Arial"/>
                <w:sz w:val="18"/>
                <w:szCs w:val="18"/>
                <w:color w:val="auto"/>
                <w:w w:val="96"/>
              </w:rPr>
              <w:t>001-12622) Annual Report on Form 10-K for the fiscal year ended</w:t>
            </w:r>
          </w:p>
        </w:tc>
      </w:tr>
      <w:tr>
        <w:trPr>
          <w:trHeight w:val="230"/>
        </w:trPr>
        <w:tc>
          <w:tcPr>
            <w:tcW w:w="7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July 31, 1988.</w:t>
            </w:r>
          </w:p>
        </w:tc>
      </w:tr>
      <w:tr>
        <w:trPr>
          <w:trHeight w:val="527"/>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10.13</w:t>
            </w:r>
          </w:p>
        </w:tc>
        <w:tc>
          <w:tcPr>
            <w:tcW w:w="5340" w:type="dxa"/>
            <w:vAlign w:val="bottom"/>
          </w:tcPr>
          <w:p>
            <w:pPr>
              <w:ind w:left="320"/>
              <w:spacing w:after="0"/>
              <w:rPr>
                <w:sz w:val="20"/>
                <w:szCs w:val="20"/>
                <w:color w:val="auto"/>
              </w:rPr>
            </w:pPr>
            <w:r>
              <w:rPr>
                <w:rFonts w:ascii="Arial" w:cs="Arial" w:eastAsia="Arial" w:hAnsi="Arial"/>
                <w:sz w:val="18"/>
                <w:szCs w:val="18"/>
                <w:color w:val="auto"/>
              </w:rPr>
              <w:t>Oil-Dri Corporation of America Deferred Compensation Plan,</w:t>
            </w:r>
          </w:p>
        </w:tc>
        <w:tc>
          <w:tcPr>
            <w:tcW w:w="5060" w:type="dxa"/>
            <w:vAlign w:val="bottom"/>
            <w:tcBorders>
              <w:bottom w:val="single" w:sz="8" w:color="0000FF"/>
            </w:tcBorders>
            <w:gridSpan w:val="2"/>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Incorporated by reference to Exhibit (10)(j)(1) to Oil-Dri’s (File No.</w:t>
              </w:r>
            </w:hyperlink>
          </w:p>
        </w:tc>
      </w:tr>
      <w:tr>
        <w:trPr>
          <w:trHeight w:val="196"/>
        </w:trPr>
        <w:tc>
          <w:tcPr>
            <w:tcW w:w="720" w:type="dxa"/>
            <w:vAlign w:val="bottom"/>
          </w:tcPr>
          <w:p>
            <w:pPr>
              <w:spacing w:after="0"/>
              <w:rPr>
                <w:sz w:val="17"/>
                <w:szCs w:val="17"/>
                <w:color w:val="auto"/>
              </w:rPr>
            </w:pPr>
          </w:p>
        </w:tc>
        <w:tc>
          <w:tcPr>
            <w:tcW w:w="5340" w:type="dxa"/>
            <w:vAlign w:val="bottom"/>
          </w:tcPr>
          <w:p>
            <w:pPr>
              <w:ind w:left="320"/>
              <w:spacing w:after="0" w:line="196" w:lineRule="exact"/>
              <w:rPr>
                <w:sz w:val="20"/>
                <w:szCs w:val="20"/>
                <w:color w:val="auto"/>
              </w:rPr>
            </w:pPr>
            <w:r>
              <w:rPr>
                <w:rFonts w:ascii="Arial" w:cs="Arial" w:eastAsia="Arial" w:hAnsi="Arial"/>
                <w:sz w:val="18"/>
                <w:szCs w:val="18"/>
                <w:color w:val="auto"/>
              </w:rPr>
              <w:t>as amended and restated effective April 1, 2003.*</w:t>
            </w:r>
          </w:p>
        </w:tc>
        <w:tc>
          <w:tcPr>
            <w:tcW w:w="506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001-12622) Quarterly Report on Form 10-Q for the quarter ended</w:t>
              </w:r>
            </w:hyperlink>
          </w:p>
        </w:tc>
      </w:tr>
      <w:tr>
        <w:trPr>
          <w:trHeight w:val="196"/>
        </w:trPr>
        <w:tc>
          <w:tcPr>
            <w:tcW w:w="7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5060" w:type="dxa"/>
            <w:vAlign w:val="bottom"/>
            <w:gridSpan w:val="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April 30, 2003.</w:t>
              </w:r>
            </w:hyperlink>
          </w:p>
        </w:tc>
      </w:tr>
      <w:tr>
        <w:trPr>
          <w:trHeight w:val="939"/>
        </w:trPr>
        <w:tc>
          <w:tcPr>
            <w:tcW w:w="720" w:type="dxa"/>
            <w:vAlign w:val="bottom"/>
          </w:tcPr>
          <w:p>
            <w:pPr>
              <w:spacing w:after="0"/>
              <w:rPr>
                <w:sz w:val="24"/>
                <w:szCs w:val="24"/>
                <w:color w:val="auto"/>
              </w:rPr>
            </w:pPr>
          </w:p>
        </w:tc>
        <w:tc>
          <w:tcPr>
            <w:tcW w:w="5340" w:type="dxa"/>
            <w:vAlign w:val="bottom"/>
          </w:tcPr>
          <w:p>
            <w:pPr>
              <w:ind w:left="4640"/>
              <w:spacing w:after="0"/>
              <w:rPr>
                <w:sz w:val="20"/>
                <w:szCs w:val="20"/>
                <w:color w:val="auto"/>
              </w:rPr>
            </w:pPr>
            <w:r>
              <w:rPr>
                <w:rFonts w:ascii="Arial" w:cs="Arial" w:eastAsia="Arial" w:hAnsi="Arial"/>
                <w:sz w:val="18"/>
                <w:szCs w:val="18"/>
                <w:color w:val="auto"/>
              </w:rPr>
              <w:t>68</w:t>
            </w:r>
          </w:p>
        </w:tc>
        <w:tc>
          <w:tcPr>
            <w:tcW w:w="1100" w:type="dxa"/>
            <w:vAlign w:val="bottom"/>
            <w:tcBorders>
              <w:top w:val="single" w:sz="8" w:color="0000FF"/>
            </w:tcBorders>
          </w:tcPr>
          <w:p>
            <w:pPr>
              <w:spacing w:after="0"/>
              <w:rPr>
                <w:sz w:val="24"/>
                <w:szCs w:val="24"/>
                <w:color w:val="auto"/>
              </w:rPr>
            </w:pPr>
          </w:p>
        </w:tc>
        <w:tc>
          <w:tcPr>
            <w:tcW w:w="3960" w:type="dxa"/>
            <w:vAlign w:val="bottom"/>
          </w:tcPr>
          <w:p>
            <w:pPr>
              <w:spacing w:after="0"/>
              <w:rPr>
                <w:sz w:val="24"/>
                <w:szCs w:val="24"/>
                <w:color w:val="auto"/>
              </w:rPr>
            </w:pPr>
          </w:p>
        </w:tc>
      </w:tr>
    </w:tbl>
    <w:p>
      <w:pPr>
        <w:sectPr>
          <w:pgSz w:w="11900" w:h="16838" w:orient="portrait"/>
          <w:cols w:equalWidth="0" w:num="1">
            <w:col w:w="11400"/>
          </w:cols>
          <w:pgMar w:left="240" w:top="530" w:right="259" w:bottom="1440" w:gutter="0" w:footer="0" w:header="0"/>
          <w:type w:val="continuous"/>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2007,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Second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4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Supplemental Executive Retirement Plan dated April 1, 2003.*</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Oil-Dri Corporation of America Annual Incentive Plan (as</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amended and restated effective January 1, 2008).*</w:t>
      </w:r>
    </w:p>
    <w:p>
      <w:pPr>
        <w:spacing w:after="0" w:line="200" w:lineRule="exact"/>
        <w:rPr>
          <w:sz w:val="20"/>
          <w:szCs w:val="20"/>
          <w:color w:val="auto"/>
        </w:rPr>
      </w:pPr>
    </w:p>
    <w:p>
      <w:pPr>
        <w:spacing w:after="0" w:line="335" w:lineRule="exact"/>
        <w:rPr>
          <w:sz w:val="20"/>
          <w:szCs w:val="20"/>
          <w:color w:val="auto"/>
        </w:rPr>
      </w:pPr>
    </w:p>
    <w:p>
      <w:pPr>
        <w:jc w:val="both"/>
        <w:ind w:left="1300" w:right="40" w:hanging="1039"/>
        <w:spacing w:after="0" w:line="308" w:lineRule="auto"/>
        <w:tabs>
          <w:tab w:leader="none" w:pos="12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Oil-Dri Corporation of America 2005 Deferred Compensation Plan (as amended and restated effective January 1, 2008)*</w:t>
      </w:r>
    </w:p>
    <w:p>
      <w:pPr>
        <w:spacing w:after="0" w:line="200" w:lineRule="exact"/>
        <w:rPr>
          <w:sz w:val="20"/>
          <w:szCs w:val="20"/>
          <w:color w:val="auto"/>
        </w:rPr>
      </w:pPr>
    </w:p>
    <w:p>
      <w:pPr>
        <w:spacing w:after="0" w:line="298" w:lineRule="exact"/>
        <w:rPr>
          <w:sz w:val="20"/>
          <w:szCs w:val="20"/>
          <w:color w:val="auto"/>
        </w:rPr>
      </w:pPr>
    </w:p>
    <w:p>
      <w:pPr>
        <w:jc w:val="both"/>
        <w:ind w:left="1300" w:right="40" w:hanging="1039"/>
        <w:spacing w:after="0" w:line="277" w:lineRule="auto"/>
        <w:tabs>
          <w:tab w:leader="none" w:pos="12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Oil-Dri Corporation of America 2006 Long Term Incentive Plan (as amended and restated effective July 28, 2006)*</w:t>
      </w:r>
    </w:p>
    <w:p>
      <w:pPr>
        <w:spacing w:after="0" w:line="200" w:lineRule="exact"/>
        <w:rPr>
          <w:sz w:val="20"/>
          <w:szCs w:val="20"/>
          <w:color w:val="auto"/>
        </w:rPr>
      </w:pPr>
    </w:p>
    <w:p>
      <w:pPr>
        <w:spacing w:after="0" w:line="295" w:lineRule="exact"/>
        <w:rPr>
          <w:sz w:val="20"/>
          <w:szCs w:val="20"/>
          <w:color w:val="auto"/>
        </w:rPr>
      </w:pPr>
    </w:p>
    <w:p>
      <w:pPr>
        <w:jc w:val="both"/>
        <w:ind w:left="1300" w:right="40" w:hanging="1039"/>
        <w:spacing w:after="0" w:line="264" w:lineRule="auto"/>
        <w:tabs>
          <w:tab w:leader="none" w:pos="12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First Amendment, effective as of January 1, 2008, to Oil-Dri Corporation of America 2006 Long Term Incentive Plan (as amended and restated effective July 28, 2006)*</w:t>
      </w:r>
    </w:p>
    <w:p>
      <w:pPr>
        <w:spacing w:after="0" w:line="289" w:lineRule="exact"/>
        <w:rPr>
          <w:sz w:val="20"/>
          <w:szCs w:val="20"/>
          <w:color w:val="auto"/>
        </w:rPr>
      </w:pPr>
    </w:p>
    <w:p>
      <w:pPr>
        <w:jc w:val="both"/>
        <w:ind w:left="1300" w:right="40" w:hanging="1039"/>
        <w:spacing w:after="0" w:line="312" w:lineRule="auto"/>
        <w:tabs>
          <w:tab w:leader="none" w:pos="12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Second Amendment, effective as of October 15, 2015, to Oil-Dri Corporation of America 2006 Long Term Incentive Plan (as previously amended and restated effective July 28, 2006)*</w:t>
      </w:r>
    </w:p>
    <w:p>
      <w:pPr>
        <w:spacing w:after="0" w:line="255" w:lineRule="exact"/>
        <w:rPr>
          <w:sz w:val="20"/>
          <w:szCs w:val="20"/>
          <w:color w:val="auto"/>
        </w:rPr>
      </w:pPr>
    </w:p>
    <w:p>
      <w:pPr>
        <w:jc w:val="both"/>
        <w:ind w:left="1300" w:right="40" w:hanging="1039"/>
        <w:spacing w:after="0" w:line="264" w:lineRule="auto"/>
        <w:tabs>
          <w:tab w:leader="none" w:pos="12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A Common Stock.*</w:t>
      </w:r>
    </w:p>
    <w:p>
      <w:pPr>
        <w:spacing w:after="0" w:line="316" w:lineRule="exact"/>
        <w:rPr>
          <w:sz w:val="20"/>
          <w:szCs w:val="20"/>
          <w:color w:val="auto"/>
        </w:rPr>
      </w:pPr>
    </w:p>
    <w:p>
      <w:pPr>
        <w:jc w:val="both"/>
        <w:ind w:left="1300" w:right="40" w:hanging="1039"/>
        <w:spacing w:after="0" w:line="264" w:lineRule="auto"/>
        <w:tabs>
          <w:tab w:leader="none" w:pos="12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Common Stock.*</w:t>
      </w:r>
    </w:p>
    <w:p>
      <w:pPr>
        <w:spacing w:after="0" w:line="289" w:lineRule="exact"/>
        <w:rPr>
          <w:sz w:val="20"/>
          <w:szCs w:val="20"/>
          <w:color w:val="auto"/>
        </w:rPr>
      </w:pPr>
    </w:p>
    <w:p>
      <w:pPr>
        <w:jc w:val="both"/>
        <w:ind w:left="1300" w:right="40" w:hanging="1039"/>
        <w:spacing w:after="0" w:line="264" w:lineRule="auto"/>
        <w:tabs>
          <w:tab w:leader="none" w:pos="12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B Stock.*</w:t>
      </w:r>
    </w:p>
    <w:p>
      <w:pPr>
        <w:spacing w:after="0" w:line="316" w:lineRule="exact"/>
        <w:rPr>
          <w:sz w:val="20"/>
          <w:szCs w:val="20"/>
          <w:color w:val="auto"/>
        </w:rPr>
      </w:pPr>
    </w:p>
    <w:p>
      <w:pPr>
        <w:jc w:val="both"/>
        <w:ind w:left="1300" w:right="40" w:hanging="1039"/>
        <w:spacing w:after="0" w:line="264" w:lineRule="auto"/>
        <w:tabs>
          <w:tab w:leader="none" w:pos="12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Oil-Dri Corporation of America 2006 Long Term Incentive Plan Director Stock Option Agreement for Common Stock.*</w:t>
      </w:r>
    </w:p>
    <w:p>
      <w:pPr>
        <w:spacing w:after="0" w:line="316" w:lineRule="exact"/>
        <w:rPr>
          <w:sz w:val="20"/>
          <w:szCs w:val="20"/>
          <w:color w:val="auto"/>
        </w:rPr>
      </w:pPr>
    </w:p>
    <w:p>
      <w:pPr>
        <w:jc w:val="both"/>
        <w:ind w:left="1300" w:right="40" w:hanging="1039"/>
        <w:spacing w:after="0" w:line="264" w:lineRule="auto"/>
        <w:tabs>
          <w:tab w:leader="none" w:pos="12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Oil-Dri Corporation of America 2006 Long Term Incentive Plan Restricted Stock Agreement for Class A Common Stock.*</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Incorporated by reference to Exhibit 10.1 to Oil-Dri’s (File No. 001-</w:t>
        </w:r>
      </w:hyperlink>
      <w:hyperlink r:id="rId27">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Incorporated by reference to Exhibit 10.2 to Oil-Dri’s (File No. 001-</w:t>
        </w:r>
      </w:hyperlink>
      <w:hyperlink r:id="rId28">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Incorporated by reference to Exhibit (10)(1) to Oil-Dri’s (File No.</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001-12622) Quarterly Report on Form 10-Q for the quarter ended</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April 30, 2003.</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Incorporated by reference to Exhibit 10.4 to Oil-Dri’s (File No. 001-</w:t>
        </w:r>
      </w:hyperlink>
      <w:hyperlink r:id="rId30">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Incorporated by reference to Exhibit 10.3 to Oil-Dri’s (File No. 001-</w:t>
        </w:r>
      </w:hyperlink>
      <w:hyperlink r:id="rId31">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31, 2008.</w:t>
        </w:r>
      </w:hyperlink>
    </w:p>
    <w:p>
      <w:pPr>
        <w:spacing w:after="0" w:line="316"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Incorporated by reference to Appendix A to Oil-Dri’s (File No. 001-</w:t>
        </w:r>
      </w:hyperlink>
      <w:hyperlink r:id="rId32">
        <w:r>
          <w:rPr>
            <w:rFonts w:ascii="Arial" w:cs="Arial" w:eastAsia="Arial" w:hAnsi="Arial"/>
            <w:sz w:val="18"/>
            <w:szCs w:val="18"/>
            <w:u w:val="single" w:color="auto"/>
            <w:color w:val="0000FF"/>
          </w:rPr>
          <w:t>12622) Definitive Proxy Statement on Schedule 14A filed on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November 3, 2006.</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Incorporated by reference to Exhibit 10.5 to Oil-Dri’s (File No. 001-</w:t>
        </w:r>
      </w:hyperlink>
      <w:hyperlink r:id="rId33">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Incorporated by reference to Appendix A to Oil-Dri’s (File No. 001-</w:t>
        </w:r>
      </w:hyperlink>
      <w:hyperlink r:id="rId34">
        <w:r>
          <w:rPr>
            <w:rFonts w:ascii="Arial" w:cs="Arial" w:eastAsia="Arial" w:hAnsi="Arial"/>
            <w:sz w:val="18"/>
            <w:szCs w:val="18"/>
            <w:u w:val="single" w:color="auto"/>
            <w:color w:val="0000FF"/>
          </w:rPr>
          <w:t>12622) Definitive Proxy Statement on Schedule 14A filed on October</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28, 2015.</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35">
        <w:r>
          <w:rPr>
            <w:rFonts w:ascii="Arial" w:cs="Arial" w:eastAsia="Arial" w:hAnsi="Arial"/>
            <w:sz w:val="17"/>
            <w:szCs w:val="17"/>
            <w:u w:val="single" w:color="auto"/>
            <w:color w:val="0000FF"/>
          </w:rPr>
          <w:t>Incorporated by reference to Exhibit 10.2 to Oil-Dri’s (file No. 001-</w:t>
        </w:r>
      </w:hyperlink>
      <w:hyperlink r:id="rId35">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Incorporated by reference to Exhibit 10.3 to Oil-Dri’s (file No. 001-</w:t>
        </w:r>
      </w:hyperlink>
      <w:hyperlink r:id="rId36">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7">
        <w:r>
          <w:rPr>
            <w:rFonts w:ascii="Arial" w:cs="Arial" w:eastAsia="Arial" w:hAnsi="Arial"/>
            <w:sz w:val="17"/>
            <w:szCs w:val="17"/>
            <w:u w:val="single" w:color="auto"/>
            <w:color w:val="0000FF"/>
          </w:rPr>
          <w:t>Incorporated by reference to Exhibit 10.4 to Oil-Dri’s (file No. 001-</w:t>
        </w:r>
      </w:hyperlink>
      <w:hyperlink r:id="rId37">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8">
        <w:r>
          <w:rPr>
            <w:rFonts w:ascii="Arial" w:cs="Arial" w:eastAsia="Arial" w:hAnsi="Arial"/>
            <w:sz w:val="17"/>
            <w:szCs w:val="17"/>
            <w:u w:val="single" w:color="auto"/>
            <w:color w:val="0000FF"/>
          </w:rPr>
          <w:t>Incorporated by reference to Exhibit 10.5 to Oil-Dri’s (file No. 001-</w:t>
        </w:r>
      </w:hyperlink>
      <w:hyperlink r:id="rId38">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9">
        <w:r>
          <w:rPr>
            <w:rFonts w:ascii="Arial" w:cs="Arial" w:eastAsia="Arial" w:hAnsi="Arial"/>
            <w:sz w:val="17"/>
            <w:szCs w:val="17"/>
            <w:u w:val="single" w:color="auto"/>
            <w:color w:val="0000FF"/>
          </w:rPr>
          <w:t>Incorporated by reference to Exhibit 10.6 to Oil-Dri’s (file No. 001-</w:t>
        </w:r>
      </w:hyperlink>
      <w:hyperlink r:id="rId39">
        <w:r>
          <w:rPr>
            <w:rFonts w:ascii="Arial" w:cs="Arial" w:eastAsia="Arial" w:hAnsi="Arial"/>
            <w:sz w:val="17"/>
            <w:szCs w:val="17"/>
            <w:u w:val="single" w:color="auto"/>
            <w:color w:val="0000FF"/>
          </w:rPr>
          <w:t>12622) Current Report on Form 8-K filed on December 11, 2006.</w:t>
        </w:r>
      </w:hyperlink>
    </w:p>
    <w:p>
      <w:pPr>
        <w:spacing w:after="0" w:line="381" w:lineRule="exact"/>
        <w:rPr>
          <w:sz w:val="20"/>
          <w:szCs w:val="20"/>
          <w:color w:val="auto"/>
        </w:rPr>
      </w:pPr>
    </w:p>
    <w:p>
      <w:pPr>
        <w:sectPr>
          <w:pgSz w:w="11900" w:h="16838" w:orient="portrait"/>
          <w:cols w:equalWidth="0" w:num="2">
            <w:col w:w="5960" w:space="360"/>
            <w:col w:w="5080"/>
          </w:cols>
          <w:pgMar w:left="240" w:top="530" w:right="259" w:bottom="1440" w:gutter="0" w:footer="0" w:header="0"/>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530" w:right="25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Incentive  Plan  Restricted  Stock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Incentive Plan Restricted Stock Agreement for Class B Stock.*</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Form of 2018 Restricted Stock Agreement for Class B Stock</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under the Oil-Dri Corporation of America 2006 Long Term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41">
        <w:r>
          <w:rPr>
            <w:rFonts w:ascii="Arial" w:cs="Arial" w:eastAsia="Arial" w:hAnsi="Arial"/>
            <w:sz w:val="17"/>
            <w:szCs w:val="17"/>
            <w:u w:val="single" w:color="auto"/>
            <w:color w:val="0000FF"/>
          </w:rPr>
          <w:t>Incorporated by reference to Exhibit 10.7 to Oil-Dri’s (file No. 001-</w:t>
        </w:r>
      </w:hyperlink>
      <w:hyperlink r:id="rId41">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42">
        <w:r>
          <w:rPr>
            <w:rFonts w:ascii="Arial" w:cs="Arial" w:eastAsia="Arial" w:hAnsi="Arial"/>
            <w:sz w:val="17"/>
            <w:szCs w:val="17"/>
            <w:u w:val="single" w:color="auto"/>
            <w:color w:val="0000FF"/>
          </w:rPr>
          <w:t>Incorporated by reference to Exhibit 10.8 to Oil-Dri’s (file No. 001-</w:t>
        </w:r>
      </w:hyperlink>
      <w:hyperlink r:id="rId42">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Filed herewith.</w:t>
        </w:r>
      </w:hyperlink>
    </w:p>
    <w:p>
      <w:pPr>
        <w:spacing w:after="0" w:line="360" w:lineRule="exact"/>
        <w:rPr>
          <w:sz w:val="20"/>
          <w:szCs w:val="20"/>
          <w:color w:val="auto"/>
        </w:rPr>
      </w:pPr>
    </w:p>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Filed herewith.</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00" w:lineRule="exact"/>
        <w:rPr>
          <w:sz w:val="20"/>
          <w:szCs w:val="20"/>
          <w:color w:val="auto"/>
        </w:rPr>
      </w:pPr>
    </w:p>
    <w:p>
      <w:pPr>
        <w:sectPr>
          <w:pgSz w:w="11900" w:h="16838" w:orient="portrait"/>
          <w:cols w:equalWidth="0" w:num="2">
            <w:col w:w="5960" w:space="360"/>
            <w:col w:w="5080"/>
          </w:cols>
          <w:pgMar w:left="240" w:top="530" w:right="259" w:bottom="1440" w:gutter="0" w:footer="0" w:header="0"/>
        </w:sectPr>
      </w:pP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21.1</w:t>
            </w:r>
          </w:p>
        </w:tc>
        <w:tc>
          <w:tcPr>
            <w:tcW w:w="5260" w:type="dxa"/>
            <w:vAlign w:val="bottom"/>
          </w:tcPr>
          <w:p>
            <w:pPr>
              <w:ind w:left="240"/>
              <w:spacing w:after="0"/>
              <w:rPr>
                <w:sz w:val="20"/>
                <w:szCs w:val="20"/>
                <w:color w:val="auto"/>
              </w:rPr>
            </w:pPr>
            <w:r>
              <w:rPr>
                <w:rFonts w:ascii="Arial" w:cs="Arial" w:eastAsia="Arial" w:hAnsi="Arial"/>
                <w:sz w:val="18"/>
                <w:szCs w:val="18"/>
                <w:color w:val="auto"/>
              </w:rPr>
              <w:t>Subsidiaries of Oil-Dri Corporation of America</w:t>
            </w:r>
          </w:p>
        </w:tc>
        <w:tc>
          <w:tcPr>
            <w:tcW w:w="1440" w:type="dxa"/>
            <w:vAlign w:val="bottom"/>
            <w:gridSpan w:val="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Filed herewith.</w:t>
              </w:r>
            </w:hyperlink>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4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23.1</w:t>
            </w:r>
          </w:p>
        </w:tc>
        <w:tc>
          <w:tcPr>
            <w:tcW w:w="526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1440" w:type="dxa"/>
            <w:vAlign w:val="bottom"/>
            <w:gridSpan w:val="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Filed herewith.</w:t>
              </w:r>
            </w:hyperlink>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4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31.1</w:t>
            </w:r>
          </w:p>
        </w:tc>
        <w:tc>
          <w:tcPr>
            <w:tcW w:w="5260" w:type="dxa"/>
            <w:vAlign w:val="bottom"/>
          </w:tcPr>
          <w:p>
            <w:pPr>
              <w:ind w:left="240"/>
              <w:spacing w:after="0"/>
              <w:rPr>
                <w:sz w:val="20"/>
                <w:szCs w:val="20"/>
                <w:color w:val="auto"/>
              </w:rPr>
            </w:pPr>
            <w:r>
              <w:rPr>
                <w:rFonts w:ascii="Arial" w:cs="Arial" w:eastAsia="Arial" w:hAnsi="Arial"/>
                <w:sz w:val="18"/>
                <w:szCs w:val="18"/>
                <w:color w:val="auto"/>
              </w:rPr>
              <w:t>Certifications pursuant to Rule 13a – 14(a).</w:t>
            </w:r>
          </w:p>
        </w:tc>
        <w:tc>
          <w:tcPr>
            <w:tcW w:w="1440" w:type="dxa"/>
            <w:vAlign w:val="bottom"/>
            <w:gridSpan w:val="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Filed herewith.</w:t>
              </w:r>
            </w:hyperlink>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4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32.1</w:t>
            </w:r>
          </w:p>
        </w:tc>
        <w:tc>
          <w:tcPr>
            <w:tcW w:w="5260" w:type="dxa"/>
            <w:vAlign w:val="bottom"/>
          </w:tcPr>
          <w:p>
            <w:pPr>
              <w:ind w:left="240"/>
              <w:spacing w:after="0"/>
              <w:rPr>
                <w:sz w:val="20"/>
                <w:szCs w:val="20"/>
                <w:color w:val="auto"/>
              </w:rPr>
            </w:pPr>
            <w:r>
              <w:rPr>
                <w:rFonts w:ascii="Arial" w:cs="Arial" w:eastAsia="Arial" w:hAnsi="Arial"/>
                <w:sz w:val="18"/>
                <w:szCs w:val="18"/>
                <w:color w:val="auto"/>
              </w:rPr>
              <w:t>Certifications pursuant to Section 1350 of the Sarbanes-Oxley</w:t>
            </w:r>
          </w:p>
        </w:tc>
        <w:tc>
          <w:tcPr>
            <w:tcW w:w="144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Furnished herewith.</w:t>
              </w:r>
            </w:hyperlink>
          </w:p>
        </w:tc>
      </w:tr>
      <w:tr>
        <w:trPr>
          <w:trHeight w:val="237"/>
        </w:trPr>
        <w:tc>
          <w:tcPr>
            <w:tcW w:w="94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Act of 2002.</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27"/>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89"/>
              </w:rPr>
              <w:t>95</w:t>
            </w:r>
          </w:p>
        </w:tc>
        <w:tc>
          <w:tcPr>
            <w:tcW w:w="5260" w:type="dxa"/>
            <w:vAlign w:val="bottom"/>
          </w:tcPr>
          <w:p>
            <w:pPr>
              <w:ind w:left="240"/>
              <w:spacing w:after="0"/>
              <w:rPr>
                <w:sz w:val="20"/>
                <w:szCs w:val="20"/>
                <w:color w:val="auto"/>
              </w:rPr>
            </w:pPr>
            <w:r>
              <w:rPr>
                <w:rFonts w:ascii="Arial" w:cs="Arial" w:eastAsia="Arial" w:hAnsi="Arial"/>
                <w:sz w:val="18"/>
                <w:szCs w:val="18"/>
                <w:color w:val="auto"/>
              </w:rPr>
              <w:t>Mine Safety Disclosure</w:t>
            </w:r>
          </w:p>
        </w:tc>
        <w:tc>
          <w:tcPr>
            <w:tcW w:w="1440" w:type="dxa"/>
            <w:vAlign w:val="bottom"/>
            <w:gridSpan w:val="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Filed herewith.</w:t>
              </w:r>
            </w:hyperlink>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88"/>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2"/>
              </w:rPr>
              <w:t>101.INS</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Instance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67"/>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9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67"/>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6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8"/>
              </w:rPr>
              <w:t>101.LAB</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6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bl>
    <w:p>
      <w:pPr>
        <w:spacing w:after="0" w:line="40" w:lineRule="exact"/>
        <w:rPr>
          <w:sz w:val="20"/>
          <w:szCs w:val="20"/>
          <w:color w:val="auto"/>
        </w:rPr>
      </w:pPr>
    </w:p>
    <w:p>
      <w:pPr>
        <w:ind w:left="5620" w:right="5600" w:hanging="4811"/>
        <w:spacing w:after="0" w:line="976" w:lineRule="auto"/>
        <w:tabs>
          <w:tab w:leader="none" w:pos="13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70</w:t>
      </w:r>
    </w:p>
    <w:p>
      <w:pPr>
        <w:sectPr>
          <w:pgSz w:w="11900" w:h="16838" w:orient="portrait"/>
          <w:cols w:equalWidth="0" w:num="1">
            <w:col w:w="11400"/>
          </w:cols>
          <w:pgMar w:left="240" w:top="530" w:right="25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2018</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480" w:type="dxa"/>
            <w:vAlign w:val="bottom"/>
          </w:tcPr>
          <w:p>
            <w:pPr>
              <w:ind w:left="160"/>
              <w:spacing w:after="0"/>
              <w:rPr>
                <w:sz w:val="20"/>
                <w:szCs w:val="20"/>
                <w:color w:val="auto"/>
              </w:rPr>
            </w:pPr>
            <w:r>
              <w:rPr>
                <w:rFonts w:ascii="Arial" w:cs="Arial" w:eastAsia="Arial" w:hAnsi="Arial"/>
                <w:sz w:val="18"/>
                <w:szCs w:val="18"/>
                <w:color w:val="auto"/>
              </w:rPr>
              <w:t>/s/ Daniel S. Jaffee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12, 2018</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600" w:type="dxa"/>
            <w:vAlign w:val="bottom"/>
          </w:tcPr>
          <w:p>
            <w:pPr>
              <w:spacing w:after="0"/>
              <w:rPr>
                <w:sz w:val="20"/>
                <w:szCs w:val="20"/>
                <w:color w:val="auto"/>
              </w:rPr>
            </w:pPr>
          </w:p>
        </w:tc>
      </w:tr>
      <w:tr>
        <w:trPr>
          <w:trHeight w:val="256"/>
        </w:trPr>
        <w:tc>
          <w:tcPr>
            <w:tcW w:w="548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1600" w:type="dxa"/>
            <w:vAlign w:val="bottom"/>
          </w:tcPr>
          <w:p>
            <w:pPr>
              <w:spacing w:after="0"/>
              <w:rPr>
                <w:sz w:val="22"/>
                <w:szCs w:val="22"/>
                <w:color w:val="auto"/>
              </w:rPr>
            </w:pPr>
          </w:p>
        </w:tc>
      </w:tr>
      <w:tr>
        <w:trPr>
          <w:trHeight w:val="230"/>
        </w:trPr>
        <w:tc>
          <w:tcPr>
            <w:tcW w:w="5480" w:type="dxa"/>
            <w:vAlign w:val="bottom"/>
          </w:tcPr>
          <w:p>
            <w:pPr>
              <w:ind w:left="1480"/>
              <w:spacing w:after="0"/>
              <w:rPr>
                <w:sz w:val="20"/>
                <w:szCs w:val="20"/>
                <w:color w:val="auto"/>
              </w:rPr>
            </w:pPr>
            <w:r>
              <w:rPr>
                <w:rFonts w:ascii="Arial" w:cs="Arial" w:eastAsia="Arial" w:hAnsi="Arial"/>
                <w:sz w:val="18"/>
                <w:szCs w:val="18"/>
                <w:color w:val="auto"/>
              </w:rPr>
              <w:t>Chairman of the Board of Directors</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600" w:type="dxa"/>
            <w:vAlign w:val="bottom"/>
          </w:tcPr>
          <w:p>
            <w:pPr>
              <w:spacing w:after="0"/>
              <w:rPr>
                <w:sz w:val="23"/>
                <w:szCs w:val="23"/>
                <w:color w:val="auto"/>
              </w:rPr>
            </w:pPr>
          </w:p>
        </w:tc>
      </w:tr>
      <w:tr>
        <w:trPr>
          <w:trHeight w:val="540"/>
        </w:trPr>
        <w:tc>
          <w:tcPr>
            <w:tcW w:w="5480" w:type="dxa"/>
            <w:vAlign w:val="bottom"/>
          </w:tcPr>
          <w:p>
            <w:pPr>
              <w:ind w:left="160"/>
              <w:spacing w:after="0"/>
              <w:rPr>
                <w:sz w:val="20"/>
                <w:szCs w:val="20"/>
                <w:color w:val="auto"/>
              </w:rPr>
            </w:pPr>
            <w:r>
              <w:rPr>
                <w:rFonts w:ascii="Arial" w:cs="Arial" w:eastAsia="Arial" w:hAnsi="Arial"/>
                <w:sz w:val="18"/>
                <w:szCs w:val="18"/>
                <w:color w:val="auto"/>
              </w:rPr>
              <w:t>/s/ Daniel T. Smith</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12, 2018</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2"/>
              </w:rPr>
              <w:t>Vice President, Chief Financial Officer</w:t>
            </w:r>
          </w:p>
        </w:tc>
        <w:tc>
          <w:tcPr>
            <w:tcW w:w="1600" w:type="dxa"/>
            <w:vAlign w:val="bottom"/>
          </w:tcPr>
          <w:p>
            <w:pPr>
              <w:spacing w:after="0"/>
              <w:rPr>
                <w:sz w:val="23"/>
                <w:szCs w:val="23"/>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600" w:type="dxa"/>
            <w:vAlign w:val="bottom"/>
          </w:tcPr>
          <w:p>
            <w:pPr>
              <w:spacing w:after="0"/>
              <w:rPr>
                <w:sz w:val="23"/>
                <w:szCs w:val="23"/>
                <w:color w:val="auto"/>
              </w:rPr>
            </w:pPr>
          </w:p>
        </w:tc>
      </w:tr>
      <w:tr>
        <w:trPr>
          <w:trHeight w:val="594"/>
        </w:trPr>
        <w:tc>
          <w:tcPr>
            <w:tcW w:w="5480" w:type="dxa"/>
            <w:vAlign w:val="bottom"/>
          </w:tcPr>
          <w:p>
            <w:pPr>
              <w:ind w:left="160"/>
              <w:spacing w:after="0"/>
              <w:rPr>
                <w:sz w:val="20"/>
                <w:szCs w:val="20"/>
                <w:color w:val="auto"/>
              </w:rPr>
            </w:pPr>
            <w:r>
              <w:rPr>
                <w:rFonts w:ascii="Arial" w:cs="Arial" w:eastAsia="Arial" w:hAnsi="Arial"/>
                <w:sz w:val="18"/>
                <w:szCs w:val="18"/>
                <w:color w:val="auto"/>
              </w:rPr>
              <w:t>/s/ Paula J. Krystopolski</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12, 2018</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0"/>
              </w:rPr>
              <w:t>Paula J. Krystopolski</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w:t>
            </w:r>
          </w:p>
        </w:tc>
        <w:tc>
          <w:tcPr>
            <w:tcW w:w="1600" w:type="dxa"/>
            <w:vAlign w:val="bottom"/>
          </w:tcPr>
          <w:p>
            <w:pPr>
              <w:spacing w:after="0"/>
              <w:rPr>
                <w:sz w:val="23"/>
                <w:szCs w:val="23"/>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600" w:type="dxa"/>
            <w:vAlign w:val="bottom"/>
          </w:tcPr>
          <w:p>
            <w:pPr>
              <w:spacing w:after="0"/>
              <w:rPr>
                <w:sz w:val="23"/>
                <w:szCs w:val="23"/>
                <w:color w:val="auto"/>
              </w:rPr>
            </w:pPr>
          </w:p>
        </w:tc>
      </w:tr>
      <w:tr>
        <w:trPr>
          <w:trHeight w:val="594"/>
        </w:trPr>
        <w:tc>
          <w:tcPr>
            <w:tcW w:w="5480" w:type="dxa"/>
            <w:vAlign w:val="bottom"/>
          </w:tcPr>
          <w:p>
            <w:pPr>
              <w:ind w:left="40"/>
              <w:spacing w:after="0"/>
              <w:rPr>
                <w:sz w:val="20"/>
                <w:szCs w:val="20"/>
                <w:color w:val="auto"/>
              </w:rPr>
            </w:pPr>
            <w:r>
              <w:rPr>
                <w:rFonts w:ascii="Arial" w:cs="Arial" w:eastAsia="Arial" w:hAnsi="Arial"/>
                <w:sz w:val="18"/>
                <w:szCs w:val="18"/>
                <w:color w:val="auto"/>
              </w:rPr>
              <w:t>/s/ Ellen-Blair Chube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12, 2018</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4"/>
              </w:rPr>
              <w:t>Ellen-Blair Chube</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3"/>
                <w:szCs w:val="23"/>
                <w:color w:val="auto"/>
              </w:rPr>
            </w:pPr>
          </w:p>
        </w:tc>
      </w:tr>
      <w:tr>
        <w:trPr>
          <w:trHeight w:val="594"/>
        </w:trPr>
        <w:tc>
          <w:tcPr>
            <w:tcW w:w="5480" w:type="dxa"/>
            <w:vAlign w:val="bottom"/>
          </w:tcPr>
          <w:p>
            <w:pPr>
              <w:ind w:left="160"/>
              <w:spacing w:after="0"/>
              <w:rPr>
                <w:sz w:val="20"/>
                <w:szCs w:val="20"/>
                <w:color w:val="auto"/>
              </w:rPr>
            </w:pPr>
            <w:r>
              <w:rPr>
                <w:rFonts w:ascii="Arial" w:cs="Arial" w:eastAsia="Arial" w:hAnsi="Arial"/>
                <w:sz w:val="18"/>
                <w:szCs w:val="18"/>
                <w:color w:val="auto"/>
              </w:rPr>
              <w:t>/s/ J. Steven Cole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12, 2018</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88"/>
              </w:rPr>
              <w:t>J. Steven Cole</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3"/>
                <w:szCs w:val="23"/>
                <w:color w:val="auto"/>
              </w:rPr>
            </w:pPr>
          </w:p>
        </w:tc>
      </w:tr>
      <w:tr>
        <w:trPr>
          <w:trHeight w:val="540"/>
        </w:trPr>
        <w:tc>
          <w:tcPr>
            <w:tcW w:w="5480" w:type="dxa"/>
            <w:vAlign w:val="bottom"/>
          </w:tcPr>
          <w:p>
            <w:pPr>
              <w:ind w:left="160"/>
              <w:spacing w:after="0"/>
              <w:rPr>
                <w:sz w:val="20"/>
                <w:szCs w:val="20"/>
                <w:color w:val="auto"/>
              </w:rPr>
            </w:pPr>
            <w:r>
              <w:rPr>
                <w:rFonts w:ascii="Arial" w:cs="Arial" w:eastAsia="Arial" w:hAnsi="Arial"/>
                <w:sz w:val="18"/>
                <w:szCs w:val="18"/>
                <w:color w:val="auto"/>
              </w:rPr>
              <w:t>/s/ Joseph C. Miller</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12, 2018</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2"/>
              </w:rPr>
              <w:t>Joseph C. Miller</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600" w:type="dxa"/>
            <w:vAlign w:val="bottom"/>
          </w:tcPr>
          <w:p>
            <w:pPr>
              <w:spacing w:after="0"/>
              <w:rPr>
                <w:sz w:val="23"/>
                <w:szCs w:val="23"/>
                <w:color w:val="auto"/>
              </w:rPr>
            </w:pPr>
          </w:p>
        </w:tc>
      </w:tr>
      <w:tr>
        <w:trPr>
          <w:trHeight w:val="702"/>
        </w:trPr>
        <w:tc>
          <w:tcPr>
            <w:tcW w:w="548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36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2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12, 2018</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George C. Roeth</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12, 2018</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390"/>
              <w:spacing w:after="0"/>
              <w:rPr>
                <w:sz w:val="20"/>
                <w:szCs w:val="20"/>
                <w:color w:val="auto"/>
              </w:rPr>
            </w:pPr>
            <w:r>
              <w:rPr>
                <w:rFonts w:ascii="Arial" w:cs="Arial" w:eastAsia="Arial" w:hAnsi="Arial"/>
                <w:sz w:val="18"/>
                <w:szCs w:val="18"/>
                <w:color w:val="auto"/>
                <w:w w:val="88"/>
              </w:rPr>
              <w:t>George C. Roeth</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39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12, 2018</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4"/>
              </w:rPr>
              <w:t>Allan H. Selig</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12, 2018</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12, 2018</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0"/>
              </w:rPr>
              <w:t>Lawrence E. Washow</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240" w:type="dxa"/>
            <w:vAlign w:val="bottom"/>
            <w:gridSpan w:val="2"/>
          </w:tcPr>
          <w:p>
            <w:pPr>
              <w:jc w:val="right"/>
              <w:ind w:right="135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0219"/>
          </w:cols>
          <w:pgMar w:left="240" w:top="800"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Year Ended July 31,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and cash discounts: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reserve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57"/>
        </w:trPr>
        <w:tc>
          <w:tcPr>
            <w:tcW w:w="536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60"/>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73" w:name="page74"/>
    <w:bookmarkEnd w:id="73"/>
    <w:p>
      <w:pPr>
        <w:jc w:val="center"/>
        <w:ind w:right="60"/>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2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w:anchor="page75">
        <w:r>
          <w:rPr>
            <w:rFonts w:ascii="Arial" w:cs="Arial" w:eastAsia="Arial" w:hAnsi="Arial"/>
            <w:sz w:val="16"/>
            <w:szCs w:val="16"/>
            <w:u w:val="single" w:color="auto"/>
            <w:color w:val="0000FF"/>
          </w:rPr>
          <w:t>Form of 2018 Restricted Stock Agreement for Class B Stock under the Oil-Dri Corporation of America 2006 Long Term Incentive Plan.</w:t>
        </w:r>
      </w:hyperlink>
    </w:p>
    <w:p>
      <w:pPr>
        <w:spacing w:after="0" w:line="6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11.1</w:t>
      </w:r>
      <w:r>
        <w:rPr>
          <w:sz w:val="20"/>
          <w:szCs w:val="20"/>
          <w:color w:val="auto"/>
        </w:rPr>
        <w:tab/>
      </w:r>
      <w:hyperlink w:anchor="page78">
        <w:r>
          <w:rPr>
            <w:rFonts w:ascii="Arial" w:cs="Arial" w:eastAsia="Arial" w:hAnsi="Arial"/>
            <w:sz w:val="16"/>
            <w:szCs w:val="16"/>
            <w:u w:val="single" w:color="auto"/>
            <w:color w:val="0000FF"/>
          </w:rPr>
          <w:t>Statement Re: Computation of Net Income Per Share</w:t>
        </w:r>
      </w:hyperlink>
    </w:p>
    <w:p>
      <w:pPr>
        <w:spacing w:after="0" w:line="33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79">
        <w:r>
          <w:rPr>
            <w:rFonts w:ascii="Arial" w:cs="Arial" w:eastAsia="Arial" w:hAnsi="Arial"/>
            <w:sz w:val="16"/>
            <w:szCs w:val="16"/>
            <w:u w:val="single" w:color="auto"/>
            <w:color w:val="0000FF"/>
          </w:rPr>
          <w:t>Subsidiaries of Oil-Dri Corporation of America</w:t>
        </w:r>
      </w:hyperlink>
    </w:p>
    <w:p>
      <w:pPr>
        <w:spacing w:after="0" w:line="33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80">
        <w:r>
          <w:rPr>
            <w:rFonts w:ascii="Arial" w:cs="Arial" w:eastAsia="Arial" w:hAnsi="Arial"/>
            <w:sz w:val="16"/>
            <w:szCs w:val="16"/>
            <w:u w:val="single" w:color="auto"/>
            <w:color w:val="0000FF"/>
          </w:rPr>
          <w:t>Consent of Independent Registered Public Accounting Firm</w:t>
        </w:r>
      </w:hyperlink>
    </w:p>
    <w:p>
      <w:pPr>
        <w:spacing w:after="0" w:line="333" w:lineRule="exact"/>
        <w:rPr>
          <w:sz w:val="20"/>
          <w:szCs w:val="20"/>
          <w:color w:val="auto"/>
        </w:rPr>
      </w:pPr>
    </w:p>
    <w:p>
      <w:pPr>
        <w:ind w:left="1080" w:hanging="81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81">
        <w:r>
          <w:rPr>
            <w:rFonts w:ascii="Arial" w:cs="Arial" w:eastAsia="Arial" w:hAnsi="Arial"/>
            <w:sz w:val="18"/>
            <w:szCs w:val="18"/>
            <w:u w:val="single" w:color="auto"/>
            <w:color w:val="0000FF"/>
          </w:rPr>
          <w:t>Certifications by Daniel S. Jaffee, President and Chief Executive Officer and Daniel T. Smith, Vice President and Chief Financial Officer,</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required by Rule 13a-14(a)</w:t>
        </w:r>
      </w:hyperlink>
    </w:p>
    <w:p>
      <w:pPr>
        <w:spacing w:after="0" w:line="279"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83">
        <w:r>
          <w:rPr>
            <w:rFonts w:ascii="Arial" w:cs="Arial" w:eastAsia="Arial" w:hAnsi="Arial"/>
            <w:sz w:val="16"/>
            <w:szCs w:val="16"/>
            <w:u w:val="single" w:color="auto"/>
            <w:color w:val="0000FF"/>
          </w:rPr>
          <w:t>Certifications pursuant to Section 1350 of the Sarbanes-Oxley Act of 2002</w:t>
        </w:r>
      </w:hyperlink>
    </w:p>
    <w:p>
      <w:pPr>
        <w:spacing w:after="0" w:line="333" w:lineRule="exact"/>
        <w:rPr>
          <w:sz w:val="20"/>
          <w:szCs w:val="20"/>
          <w:color w:val="auto"/>
        </w:rPr>
      </w:pPr>
    </w:p>
    <w:p>
      <w:pPr>
        <w:ind w:left="1080" w:hanging="742"/>
        <w:spacing w:after="0"/>
        <w:tabs>
          <w:tab w:leader="none" w:pos="1080" w:val="left"/>
        </w:tabs>
        <w:numPr>
          <w:ilvl w:val="0"/>
          <w:numId w:val="12"/>
        </w:numPr>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Mine Safety Disclosure</w:t>
        </w:r>
      </w:hyperlink>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5"/>
              </w:rPr>
              <w:t>101.INS</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4"/>
              </w:rPr>
              <w:t>101.CAL</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5"/>
              </w:rPr>
              <w:t>101.LAB</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1"/>
              </w:rPr>
              <w:t>101.PRE</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2"/>
              </w:rPr>
              <w:t>Note:</w:t>
            </w:r>
          </w:p>
        </w:tc>
        <w:tc>
          <w:tcPr>
            <w:tcW w:w="10360" w:type="dxa"/>
            <w:vAlign w:val="bottom"/>
          </w:tcPr>
          <w:p>
            <w:pPr>
              <w:ind w:left="16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820" w:type="dxa"/>
            <w:vAlign w:val="bottom"/>
          </w:tcPr>
          <w:p>
            <w:pPr>
              <w:spacing w:after="0"/>
              <w:rPr>
                <w:sz w:val="20"/>
                <w:szCs w:val="20"/>
                <w:color w:val="auto"/>
              </w:rPr>
            </w:pPr>
          </w:p>
        </w:tc>
        <w:tc>
          <w:tcPr>
            <w:tcW w:w="10360" w:type="dxa"/>
            <w:vAlign w:val="bottom"/>
          </w:tcPr>
          <w:p>
            <w:pPr>
              <w:ind w:left="16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820" w:type="dxa"/>
            <w:vAlign w:val="bottom"/>
          </w:tcPr>
          <w:p>
            <w:pPr>
              <w:spacing w:after="0"/>
              <w:rPr>
                <w:sz w:val="24"/>
                <w:szCs w:val="24"/>
                <w:color w:val="auto"/>
              </w:rPr>
            </w:pPr>
          </w:p>
        </w:tc>
        <w:tc>
          <w:tcPr>
            <w:tcW w:w="10360" w:type="dxa"/>
            <w:vAlign w:val="bottom"/>
          </w:tcPr>
          <w:p>
            <w:pPr>
              <w:ind w:left="460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280"/>
          </w:cols>
          <w:pgMar w:left="340" w:top="580"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10.29: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OIL-DRI CORPORATION OF AMERICA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LONG-TERM INCENTIVE PLAN</w:t>
      </w:r>
    </w:p>
    <w:p>
      <w:pPr>
        <w:jc w:val="center"/>
        <w:spacing w:after="0"/>
        <w:rPr>
          <w:sz w:val="20"/>
          <w:szCs w:val="20"/>
          <w:color w:val="auto"/>
        </w:rPr>
      </w:pPr>
      <w:r>
        <w:rPr>
          <w:rFonts w:ascii="Arial" w:cs="Arial" w:eastAsia="Arial" w:hAnsi="Arial"/>
          <w:sz w:val="20"/>
          <w:szCs w:val="20"/>
          <w:b w:val="1"/>
          <w:bCs w:val="1"/>
          <w:color w:val="auto"/>
        </w:rPr>
        <w:t>RESTRICTED STOCK AGREEMENT</w:t>
      </w:r>
    </w:p>
    <w:p>
      <w:pPr>
        <w:jc w:val="center"/>
        <w:spacing w:after="0"/>
        <w:rPr>
          <w:sz w:val="20"/>
          <w:szCs w:val="20"/>
          <w:color w:val="auto"/>
        </w:rPr>
      </w:pPr>
      <w:r>
        <w:rPr>
          <w:rFonts w:ascii="Arial" w:cs="Arial" w:eastAsia="Arial" w:hAnsi="Arial"/>
          <w:sz w:val="20"/>
          <w:szCs w:val="20"/>
          <w:b w:val="1"/>
          <w:bCs w:val="1"/>
          <w:color w:val="auto"/>
        </w:rPr>
        <w:t>FOR CLASS B STOCK</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terms and conditions of this Agreement and the Oil-Dri Corporation of America 2006 Long Term Incentive Plan (the</w:t>
      </w:r>
    </w:p>
    <w:tbl>
      <w:tblPr>
        <w:tblLayout w:type="fixed"/>
        <w:tblInd w:w="0" w:type="dxa"/>
        <w:tblCellMar>
          <w:top w:w="0" w:type="dxa"/>
          <w:left w:w="0" w:type="dxa"/>
          <w:bottom w:w="0" w:type="dxa"/>
          <w:right w:w="0" w:type="dxa"/>
        </w:tblCellMar>
      </w:tblPr>
      <w:tr>
        <w:trPr>
          <w:trHeight w:val="229"/>
        </w:trPr>
        <w:tc>
          <w:tcPr>
            <w:tcW w:w="5840" w:type="dxa"/>
            <w:vAlign w:val="bottom"/>
            <w:gridSpan w:val="7"/>
          </w:tcPr>
          <w:p>
            <w:pPr>
              <w:spacing w:after="0" w:line="229" w:lineRule="exact"/>
              <w:rPr>
                <w:sz w:val="20"/>
                <w:szCs w:val="20"/>
                <w:color w:val="auto"/>
              </w:rPr>
            </w:pPr>
            <w:r>
              <w:rPr>
                <w:rFonts w:ascii="Arial" w:cs="Arial" w:eastAsia="Arial" w:hAnsi="Arial"/>
                <w:sz w:val="20"/>
                <w:szCs w:val="20"/>
                <w:color w:val="auto"/>
                <w:w w:val="94"/>
              </w:rPr>
              <w:t>“Plan”), Oil-Dri Corporation of America (the “Company”) hereby grants</w:t>
            </w: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40" w:type="dxa"/>
            <w:vAlign w:val="bottom"/>
            <w:gridSpan w:val="3"/>
          </w:tcPr>
          <w:p>
            <w:pPr>
              <w:ind w:left="60"/>
              <w:spacing w:after="0" w:line="229" w:lineRule="exact"/>
              <w:rPr>
                <w:sz w:val="20"/>
                <w:szCs w:val="20"/>
                <w:color w:val="auto"/>
              </w:rPr>
            </w:pPr>
            <w:r>
              <w:rPr>
                <w:rFonts w:ascii="Arial" w:cs="Arial" w:eastAsia="Arial" w:hAnsi="Arial"/>
                <w:sz w:val="20"/>
                <w:szCs w:val="20"/>
                <w:color w:val="auto"/>
                <w:w w:val="89"/>
              </w:rPr>
              <w:t>[grantee name] (hereafter referred to as “You”) a</w:t>
            </w:r>
          </w:p>
        </w:tc>
      </w:tr>
      <w:tr>
        <w:trPr>
          <w:trHeight w:val="20"/>
        </w:trPr>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3940" w:type="dxa"/>
            <w:vAlign w:val="bottom"/>
            <w:gridSpan w:val="4"/>
          </w:tcPr>
          <w:p>
            <w:pPr>
              <w:spacing w:after="0" w:line="209" w:lineRule="exact"/>
              <w:rPr>
                <w:sz w:val="20"/>
                <w:szCs w:val="20"/>
                <w:color w:val="auto"/>
              </w:rPr>
            </w:pPr>
            <w:r>
              <w:rPr>
                <w:rFonts w:ascii="Arial" w:cs="Arial" w:eastAsia="Arial" w:hAnsi="Arial"/>
                <w:sz w:val="20"/>
                <w:szCs w:val="20"/>
                <w:color w:val="auto"/>
                <w:w w:val="90"/>
              </w:rPr>
              <w:t>grant of shares of restricted Stock, effective as of</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gridSpan w:val="6"/>
          </w:tcPr>
          <w:p>
            <w:pPr>
              <w:ind w:left="40"/>
              <w:spacing w:after="0" w:line="209" w:lineRule="exact"/>
              <w:rPr>
                <w:sz w:val="20"/>
                <w:szCs w:val="20"/>
                <w:color w:val="auto"/>
              </w:rPr>
            </w:pPr>
            <w:r>
              <w:rPr>
                <w:rFonts w:ascii="Arial" w:cs="Arial" w:eastAsia="Arial" w:hAnsi="Arial"/>
                <w:sz w:val="20"/>
                <w:szCs w:val="20"/>
                <w:color w:val="auto"/>
                <w:w w:val="90"/>
              </w:rPr>
              <w:t>[date] (the “Grant Date”). “Stock” means Class B Stock of the Company,</w:t>
            </w:r>
          </w:p>
        </w:tc>
      </w:tr>
      <w:tr>
        <w:trPr>
          <w:trHeight w:val="254"/>
        </w:trPr>
        <w:tc>
          <w:tcPr>
            <w:tcW w:w="3940" w:type="dxa"/>
            <w:vAlign w:val="bottom"/>
            <w:gridSpan w:val="4"/>
          </w:tcPr>
          <w:p>
            <w:pPr>
              <w:spacing w:after="0"/>
              <w:rPr>
                <w:sz w:val="20"/>
                <w:szCs w:val="20"/>
                <w:color w:val="auto"/>
              </w:rPr>
            </w:pPr>
            <w:r>
              <w:rPr>
                <w:rFonts w:ascii="Arial" w:cs="Arial" w:eastAsia="Arial" w:hAnsi="Arial"/>
                <w:sz w:val="20"/>
                <w:szCs w:val="20"/>
                <w:color w:val="auto"/>
              </w:rPr>
              <w:t>par value $.10 per share.</w:t>
            </w:r>
          </w:p>
        </w:tc>
        <w:tc>
          <w:tcPr>
            <w:tcW w:w="5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pacing w:after="0" w:line="182" w:lineRule="exact"/>
        <w:rPr>
          <w:sz w:val="20"/>
          <w:szCs w:val="20"/>
          <w:color w:val="auto"/>
        </w:rPr>
      </w:pPr>
    </w:p>
    <w:p>
      <w:pPr>
        <w:ind w:right="4140" w:firstLine="656"/>
        <w:spacing w:after="0" w:line="332" w:lineRule="auto"/>
        <w:tabs>
          <w:tab w:leader="none" w:pos="1431" w:val="left"/>
        </w:tabs>
        <w:numPr>
          <w:ilvl w:val="0"/>
          <w:numId w:val="13"/>
        </w:numPr>
        <w:rPr>
          <w:rFonts w:ascii="Arial" w:cs="Arial" w:eastAsia="Arial" w:hAnsi="Arial"/>
          <w:sz w:val="16"/>
          <w:szCs w:val="16"/>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This grant of shares of restricted Stock shall consist of [number of shares] shares (the “</w:t>
      </w:r>
      <w:r>
        <w:rPr>
          <w:rFonts w:ascii="Arial" w:cs="Arial" w:eastAsia="Arial" w:hAnsi="Arial"/>
          <w:sz w:val="18"/>
          <w:szCs w:val="18"/>
          <w:u w:val="single" w:color="auto"/>
          <w:color w:val="auto"/>
        </w:rPr>
        <w:t>Restricted Shares</w:t>
      </w:r>
      <w:r>
        <w:rPr>
          <w:rFonts w:ascii="Arial" w:cs="Arial" w:eastAsia="Arial" w:hAnsi="Arial"/>
          <w:sz w:val="18"/>
          <w:szCs w:val="18"/>
          <w:color w:val="auto"/>
        </w:rPr>
        <w:t>”) of Stock, of the Company.</w:t>
      </w:r>
    </w:p>
    <w:p>
      <w:pPr>
        <w:spacing w:after="0" w:line="143" w:lineRule="exact"/>
        <w:rPr>
          <w:rFonts w:ascii="Arial" w:cs="Arial" w:eastAsia="Arial" w:hAnsi="Arial"/>
          <w:sz w:val="16"/>
          <w:szCs w:val="16"/>
          <w:color w:val="auto"/>
        </w:rPr>
      </w:pPr>
    </w:p>
    <w:p>
      <w:pPr>
        <w:ind w:left="1440" w:hanging="784"/>
        <w:spacing w:after="0"/>
        <w:tabs>
          <w:tab w:leader="none" w:pos="1440" w:val="left"/>
        </w:tabs>
        <w:numPr>
          <w:ilvl w:val="0"/>
          <w:numId w:val="13"/>
        </w:numPr>
        <w:rPr>
          <w:rFonts w:ascii="Arial" w:cs="Arial" w:eastAsia="Arial" w:hAnsi="Arial"/>
          <w:sz w:val="16"/>
          <w:szCs w:val="16"/>
          <w:color w:val="auto"/>
        </w:rPr>
      </w:pPr>
      <w:r>
        <w:rPr>
          <w:rFonts w:ascii="Arial" w:cs="Arial" w:eastAsia="Arial" w:hAnsi="Arial"/>
          <w:sz w:val="18"/>
          <w:szCs w:val="18"/>
          <w:u w:val="single" w:color="auto"/>
          <w:color w:val="auto"/>
        </w:rPr>
        <w:t>No Payment for Shares of Restricted Stock</w:t>
      </w:r>
      <w:r>
        <w:rPr>
          <w:rFonts w:ascii="Arial" w:cs="Arial" w:eastAsia="Arial" w:hAnsi="Arial"/>
          <w:sz w:val="18"/>
          <w:szCs w:val="18"/>
          <w:color w:val="auto"/>
        </w:rPr>
        <w:t>. No per share purchase price is required to be paid by You for the Restricted</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Shares.</w:t>
      </w:r>
    </w:p>
    <w:p>
      <w:pPr>
        <w:spacing w:after="0" w:line="256" w:lineRule="exact"/>
        <w:rPr>
          <w:rFonts w:ascii="Arial" w:cs="Arial" w:eastAsia="Arial" w:hAnsi="Arial"/>
          <w:sz w:val="16"/>
          <w:szCs w:val="16"/>
          <w:color w:val="auto"/>
        </w:rPr>
      </w:pPr>
    </w:p>
    <w:p>
      <w:pPr>
        <w:ind w:right="20" w:firstLine="656"/>
        <w:spacing w:after="0" w:line="289" w:lineRule="auto"/>
        <w:tabs>
          <w:tab w:leader="none" w:pos="1431" w:val="left"/>
        </w:tabs>
        <w:numPr>
          <w:ilvl w:val="0"/>
          <w:numId w:val="13"/>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All restrictions applicable to the Restricted Shares under this Agreement shall lapse, and such Restricted Shares shall vest, according to the following schedule, unless forfeited pursuant to Section 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-1146810</wp:posOffset>
            </wp:positionV>
            <wp:extent cx="691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extLst>
                    </a:blip>
                    <a:srcRect/>
                    <a:stretch>
                      <a:fillRect/>
                    </a:stretch>
                  </pic:blipFill>
                  <pic:spPr bwMode="auto">
                    <a:xfrm>
                      <a:off x="0" y="0"/>
                      <a:ext cx="691515" cy="8890"/>
                    </a:xfrm>
                    <a:prstGeom prst="rect">
                      <a:avLst/>
                    </a:prstGeom>
                    <a:noFill/>
                  </pic:spPr>
                </pic:pic>
              </a:graphicData>
            </a:graphic>
          </wp:anchor>
        </w:drawing>
      </w:r>
    </w:p>
    <w:p>
      <w:pPr>
        <w:spacing w:after="0" w:line="8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4000" w:type="dxa"/>
            <w:vAlign w:val="bottom"/>
          </w:tcPr>
          <w:p>
            <w:pPr>
              <w:jc w:val="center"/>
              <w:ind w:left="207"/>
              <w:spacing w:after="0"/>
              <w:rPr>
                <w:sz w:val="20"/>
                <w:szCs w:val="20"/>
                <w:color w:val="auto"/>
              </w:rPr>
            </w:pPr>
            <w:r>
              <w:rPr>
                <w:rFonts w:ascii="Arial" w:cs="Arial" w:eastAsia="Arial" w:hAnsi="Arial"/>
                <w:sz w:val="20"/>
                <w:szCs w:val="20"/>
                <w:b w:val="1"/>
                <w:bCs w:val="1"/>
                <w:color w:val="auto"/>
                <w:w w:val="88"/>
              </w:rPr>
              <w:t>Cumulative percentage of Restricted Shares</w:t>
            </w:r>
          </w:p>
        </w:tc>
      </w:tr>
      <w:tr>
        <w:trPr>
          <w:trHeight w:val="256"/>
        </w:trPr>
        <w:tc>
          <w:tcPr>
            <w:tcW w:w="4160" w:type="dxa"/>
            <w:vAlign w:val="bottom"/>
          </w:tcPr>
          <w:p>
            <w:pPr>
              <w:jc w:val="center"/>
              <w:ind w:right="188"/>
              <w:spacing w:after="0"/>
              <w:rPr>
                <w:sz w:val="20"/>
                <w:szCs w:val="20"/>
                <w:color w:val="auto"/>
              </w:rPr>
            </w:pPr>
            <w:r>
              <w:rPr>
                <w:rFonts w:ascii="Arial" w:cs="Arial" w:eastAsia="Arial" w:hAnsi="Arial"/>
                <w:sz w:val="20"/>
                <w:szCs w:val="20"/>
                <w:b w:val="1"/>
                <w:bCs w:val="1"/>
                <w:color w:val="auto"/>
                <w:w w:val="88"/>
              </w:rPr>
              <w:t>On or after each of the following vesting dates</w:t>
            </w:r>
          </w:p>
        </w:tc>
        <w:tc>
          <w:tcPr>
            <w:tcW w:w="4000" w:type="dxa"/>
            <w:vAlign w:val="bottom"/>
          </w:tcPr>
          <w:p>
            <w:pPr>
              <w:jc w:val="center"/>
              <w:ind w:left="207"/>
              <w:spacing w:after="0"/>
              <w:rPr>
                <w:sz w:val="20"/>
                <w:szCs w:val="20"/>
                <w:color w:val="auto"/>
              </w:rPr>
            </w:pPr>
            <w:r>
              <w:rPr>
                <w:rFonts w:ascii="Arial" w:cs="Arial" w:eastAsia="Arial" w:hAnsi="Arial"/>
                <w:sz w:val="20"/>
                <w:szCs w:val="20"/>
                <w:b w:val="1"/>
                <w:bCs w:val="1"/>
                <w:color w:val="auto"/>
                <w:w w:val="85"/>
              </w:rPr>
              <w:t>vested</w:t>
            </w:r>
          </w:p>
        </w:tc>
      </w:tr>
      <w:tr>
        <w:trPr>
          <w:trHeight w:val="536"/>
        </w:trPr>
        <w:tc>
          <w:tcPr>
            <w:tcW w:w="4160" w:type="dxa"/>
            <w:vAlign w:val="bottom"/>
          </w:tcPr>
          <w:p>
            <w:pPr>
              <w:jc w:val="center"/>
              <w:ind w:right="208"/>
              <w:spacing w:after="0"/>
              <w:rPr>
                <w:sz w:val="20"/>
                <w:szCs w:val="20"/>
                <w:color w:val="auto"/>
              </w:rPr>
            </w:pPr>
            <w:r>
              <w:rPr>
                <w:rFonts w:ascii="Arial" w:cs="Arial" w:eastAsia="Arial" w:hAnsi="Arial"/>
                <w:sz w:val="18"/>
                <w:szCs w:val="18"/>
                <w:color w:val="auto"/>
                <w:w w:val="93"/>
              </w:rPr>
              <w:t>[date]</w:t>
            </w:r>
          </w:p>
        </w:tc>
        <w:tc>
          <w:tcPr>
            <w:tcW w:w="4000" w:type="dxa"/>
            <w:vAlign w:val="bottom"/>
          </w:tcPr>
          <w:p>
            <w:pPr>
              <w:jc w:val="center"/>
              <w:ind w:left="207"/>
              <w:spacing w:after="0"/>
              <w:rPr>
                <w:sz w:val="20"/>
                <w:szCs w:val="20"/>
                <w:color w:val="auto"/>
              </w:rPr>
            </w:pPr>
            <w:r>
              <w:rPr>
                <w:rFonts w:ascii="Arial" w:cs="Arial" w:eastAsia="Arial" w:hAnsi="Arial"/>
                <w:sz w:val="18"/>
                <w:szCs w:val="18"/>
                <w:color w:val="auto"/>
                <w:w w:val="99"/>
              </w:rPr>
              <w:t>[%]</w:t>
            </w:r>
          </w:p>
        </w:tc>
      </w:tr>
      <w:tr>
        <w:trPr>
          <w:trHeight w:val="270"/>
        </w:trPr>
        <w:tc>
          <w:tcPr>
            <w:tcW w:w="4160" w:type="dxa"/>
            <w:vAlign w:val="bottom"/>
          </w:tcPr>
          <w:p>
            <w:pPr>
              <w:jc w:val="center"/>
              <w:ind w:right="208"/>
              <w:spacing w:after="0"/>
              <w:rPr>
                <w:sz w:val="20"/>
                <w:szCs w:val="20"/>
                <w:color w:val="auto"/>
              </w:rPr>
            </w:pPr>
            <w:r>
              <w:rPr>
                <w:rFonts w:ascii="Arial" w:cs="Arial" w:eastAsia="Arial" w:hAnsi="Arial"/>
                <w:sz w:val="18"/>
                <w:szCs w:val="18"/>
                <w:color w:val="auto"/>
                <w:w w:val="93"/>
              </w:rPr>
              <w:t>[date]</w:t>
            </w:r>
          </w:p>
        </w:tc>
        <w:tc>
          <w:tcPr>
            <w:tcW w:w="4000" w:type="dxa"/>
            <w:vAlign w:val="bottom"/>
          </w:tcPr>
          <w:p>
            <w:pPr>
              <w:jc w:val="center"/>
              <w:ind w:left="207"/>
              <w:spacing w:after="0"/>
              <w:rPr>
                <w:sz w:val="20"/>
                <w:szCs w:val="20"/>
                <w:color w:val="auto"/>
              </w:rPr>
            </w:pPr>
            <w:r>
              <w:rPr>
                <w:rFonts w:ascii="Arial" w:cs="Arial" w:eastAsia="Arial" w:hAnsi="Arial"/>
                <w:sz w:val="18"/>
                <w:szCs w:val="18"/>
                <w:color w:val="auto"/>
                <w:w w:val="99"/>
              </w:rPr>
              <w:t>[%]</w:t>
            </w:r>
          </w:p>
        </w:tc>
      </w:tr>
      <w:tr>
        <w:trPr>
          <w:trHeight w:val="270"/>
        </w:trPr>
        <w:tc>
          <w:tcPr>
            <w:tcW w:w="4160" w:type="dxa"/>
            <w:vAlign w:val="bottom"/>
          </w:tcPr>
          <w:p>
            <w:pPr>
              <w:jc w:val="center"/>
              <w:ind w:right="208"/>
              <w:spacing w:after="0"/>
              <w:rPr>
                <w:sz w:val="20"/>
                <w:szCs w:val="20"/>
                <w:color w:val="auto"/>
              </w:rPr>
            </w:pPr>
            <w:r>
              <w:rPr>
                <w:rFonts w:ascii="Arial" w:cs="Arial" w:eastAsia="Arial" w:hAnsi="Arial"/>
                <w:sz w:val="18"/>
                <w:szCs w:val="18"/>
                <w:color w:val="auto"/>
                <w:w w:val="93"/>
              </w:rPr>
              <w:t>[date]</w:t>
            </w:r>
          </w:p>
        </w:tc>
        <w:tc>
          <w:tcPr>
            <w:tcW w:w="4000" w:type="dxa"/>
            <w:vAlign w:val="bottom"/>
          </w:tcPr>
          <w:p>
            <w:pPr>
              <w:jc w:val="center"/>
              <w:ind w:left="207"/>
              <w:spacing w:after="0"/>
              <w:rPr>
                <w:sz w:val="20"/>
                <w:szCs w:val="20"/>
                <w:color w:val="auto"/>
              </w:rPr>
            </w:pPr>
            <w:r>
              <w:rPr>
                <w:rFonts w:ascii="Arial" w:cs="Arial" w:eastAsia="Arial" w:hAnsi="Arial"/>
                <w:sz w:val="18"/>
                <w:szCs w:val="18"/>
                <w:color w:val="auto"/>
                <w:w w:val="99"/>
              </w:rPr>
              <w:t>[%]</w:t>
            </w:r>
          </w:p>
        </w:tc>
      </w:tr>
      <w:tr>
        <w:trPr>
          <w:trHeight w:val="270"/>
        </w:trPr>
        <w:tc>
          <w:tcPr>
            <w:tcW w:w="4160" w:type="dxa"/>
            <w:vAlign w:val="bottom"/>
          </w:tcPr>
          <w:p>
            <w:pPr>
              <w:jc w:val="center"/>
              <w:ind w:right="208"/>
              <w:spacing w:after="0"/>
              <w:rPr>
                <w:sz w:val="20"/>
                <w:szCs w:val="20"/>
                <w:color w:val="auto"/>
              </w:rPr>
            </w:pPr>
            <w:r>
              <w:rPr>
                <w:rFonts w:ascii="Arial" w:cs="Arial" w:eastAsia="Arial" w:hAnsi="Arial"/>
                <w:sz w:val="18"/>
                <w:szCs w:val="18"/>
                <w:color w:val="auto"/>
                <w:w w:val="93"/>
              </w:rPr>
              <w:t>[date]</w:t>
            </w:r>
          </w:p>
        </w:tc>
        <w:tc>
          <w:tcPr>
            <w:tcW w:w="4000" w:type="dxa"/>
            <w:vAlign w:val="bottom"/>
          </w:tcPr>
          <w:p>
            <w:pPr>
              <w:jc w:val="center"/>
              <w:ind w:left="207"/>
              <w:spacing w:after="0"/>
              <w:rPr>
                <w:sz w:val="20"/>
                <w:szCs w:val="20"/>
                <w:color w:val="auto"/>
              </w:rPr>
            </w:pPr>
            <w:r>
              <w:rPr>
                <w:rFonts w:ascii="Arial" w:cs="Arial" w:eastAsia="Arial" w:hAnsi="Arial"/>
                <w:sz w:val="18"/>
                <w:szCs w:val="18"/>
                <w:color w:val="auto"/>
                <w:w w:val="99"/>
              </w:rPr>
              <w:t>[%]</w:t>
            </w:r>
          </w:p>
        </w:tc>
      </w:tr>
      <w:tr>
        <w:trPr>
          <w:trHeight w:val="270"/>
        </w:trPr>
        <w:tc>
          <w:tcPr>
            <w:tcW w:w="4160" w:type="dxa"/>
            <w:vAlign w:val="bottom"/>
          </w:tcPr>
          <w:p>
            <w:pPr>
              <w:jc w:val="center"/>
              <w:ind w:right="208"/>
              <w:spacing w:after="0"/>
              <w:rPr>
                <w:sz w:val="20"/>
                <w:szCs w:val="20"/>
                <w:color w:val="auto"/>
              </w:rPr>
            </w:pPr>
            <w:r>
              <w:rPr>
                <w:rFonts w:ascii="Arial" w:cs="Arial" w:eastAsia="Arial" w:hAnsi="Arial"/>
                <w:sz w:val="18"/>
                <w:szCs w:val="18"/>
                <w:color w:val="auto"/>
                <w:w w:val="93"/>
              </w:rPr>
              <w:t>[date]</w:t>
            </w:r>
          </w:p>
        </w:tc>
        <w:tc>
          <w:tcPr>
            <w:tcW w:w="4000" w:type="dxa"/>
            <w:vAlign w:val="bottom"/>
          </w:tcPr>
          <w:p>
            <w:pPr>
              <w:jc w:val="center"/>
              <w:ind w:left="207"/>
              <w:spacing w:after="0"/>
              <w:rPr>
                <w:sz w:val="20"/>
                <w:szCs w:val="20"/>
                <w:color w:val="auto"/>
              </w:rPr>
            </w:pPr>
            <w:r>
              <w:rPr>
                <w:rFonts w:ascii="Arial" w:cs="Arial" w:eastAsia="Arial" w:hAnsi="Arial"/>
                <w:sz w:val="18"/>
                <w:szCs w:val="18"/>
                <w:color w:val="auto"/>
                <w:w w:val="99"/>
              </w:rPr>
              <w:t>[%]</w:t>
            </w:r>
          </w:p>
        </w:tc>
      </w:tr>
    </w:tbl>
    <w:p>
      <w:pPr>
        <w:spacing w:after="0" w:line="240" w:lineRule="exact"/>
        <w:rPr>
          <w:sz w:val="20"/>
          <w:szCs w:val="20"/>
          <w:color w:val="auto"/>
        </w:rPr>
      </w:pPr>
    </w:p>
    <w:p>
      <w:pPr>
        <w:jc w:val="both"/>
        <w:ind w:firstLine="656"/>
        <w:spacing w:after="0" w:line="290" w:lineRule="auto"/>
        <w:tabs>
          <w:tab w:leader="none" w:pos="1431" w:val="left"/>
        </w:tabs>
        <w:numPr>
          <w:ilvl w:val="1"/>
          <w:numId w:val="14"/>
        </w:numPr>
        <w:rPr>
          <w:rFonts w:ascii="Arial" w:cs="Arial" w:eastAsia="Arial" w:hAnsi="Arial"/>
          <w:sz w:val="17"/>
          <w:szCs w:val="17"/>
          <w:color w:val="auto"/>
        </w:rPr>
      </w:pPr>
      <w:r>
        <w:rPr>
          <w:rFonts w:ascii="Arial" w:cs="Arial" w:eastAsia="Arial" w:hAnsi="Arial"/>
          <w:sz w:val="19"/>
          <w:szCs w:val="19"/>
          <w:u w:val="single" w:color="auto"/>
          <w:color w:val="auto"/>
        </w:rPr>
        <w:t>Escrow</w:t>
      </w:r>
      <w:r>
        <w:rPr>
          <w:rFonts w:ascii="Arial" w:cs="Arial" w:eastAsia="Arial" w:hAnsi="Arial"/>
          <w:sz w:val="19"/>
          <w:szCs w:val="19"/>
          <w:color w:val="auto"/>
        </w:rPr>
        <w:t>. Until your Restricted Shares have vested pursuant to Section 3 above, such shares shall be held in book entry at the transfer agent of the Company (the “</w:t>
      </w:r>
      <w:r>
        <w:rPr>
          <w:rFonts w:ascii="Arial" w:cs="Arial" w:eastAsia="Arial" w:hAnsi="Arial"/>
          <w:sz w:val="19"/>
          <w:szCs w:val="19"/>
          <w:u w:val="single" w:color="auto"/>
          <w:color w:val="auto"/>
        </w:rPr>
        <w:t>Escrow Agent</w:t>
      </w:r>
      <w:r>
        <w:rPr>
          <w:rFonts w:ascii="Arial" w:cs="Arial" w:eastAsia="Arial" w:hAnsi="Arial"/>
          <w:sz w:val="19"/>
          <w:szCs w:val="19"/>
          <w:color w:val="auto"/>
        </w:rPr>
        <w:t>”). The Escrow Agent will hold the Restricted Shares until directed by the Company to distribute the Restricted Shares (i) to the Company upon receipt of written authorization from the Company indicating that the Restricted Shares have been forfeited in accordance with the terms of this Agreement, or (ii) to You upon receipt of written authorization from the Company indicating that the restrictions have lapsed in accordance with the terms of this Agreement.</w:t>
      </w:r>
    </w:p>
    <w:p>
      <w:pPr>
        <w:spacing w:after="0" w:line="192" w:lineRule="exact"/>
        <w:rPr>
          <w:rFonts w:ascii="Arial" w:cs="Arial" w:eastAsia="Arial" w:hAnsi="Arial"/>
          <w:sz w:val="17"/>
          <w:szCs w:val="17"/>
          <w:color w:val="auto"/>
        </w:rPr>
      </w:pPr>
    </w:p>
    <w:p>
      <w:pPr>
        <w:jc w:val="both"/>
        <w:ind w:firstLine="656"/>
        <w:spacing w:after="0" w:line="299" w:lineRule="auto"/>
        <w:tabs>
          <w:tab w:leader="none" w:pos="1431" w:val="left"/>
        </w:tabs>
        <w:numPr>
          <w:ilvl w:val="1"/>
          <w:numId w:val="14"/>
        </w:numPr>
        <w:rPr>
          <w:rFonts w:ascii="Arial" w:cs="Arial" w:eastAsia="Arial" w:hAnsi="Arial"/>
          <w:sz w:val="17"/>
          <w:szCs w:val="17"/>
          <w:color w:val="auto"/>
        </w:rPr>
      </w:pPr>
      <w:r>
        <w:rPr>
          <w:rFonts w:ascii="Arial" w:cs="Arial" w:eastAsia="Arial" w:hAnsi="Arial"/>
          <w:sz w:val="19"/>
          <w:szCs w:val="19"/>
          <w:u w:val="single" w:color="auto"/>
          <w:color w:val="auto"/>
        </w:rPr>
        <w:t>Forfeiture of Unvested Shares</w:t>
      </w:r>
      <w:r>
        <w:rPr>
          <w:rFonts w:ascii="Arial" w:cs="Arial" w:eastAsia="Arial" w:hAnsi="Arial"/>
          <w:sz w:val="19"/>
          <w:szCs w:val="19"/>
          <w:color w:val="auto"/>
        </w:rPr>
        <w:t>. Except as provided below, if, for any reason, your service as an employee terminates at any time before a vesting date, all Restricted Shares that have not yet vested as of the date of such termination shall be forfeited. In such event, You will sign any document and take any other action required to assign the Restricted Shares back to the Company.</w:t>
      </w:r>
    </w:p>
    <w:p>
      <w:pPr>
        <w:spacing w:after="0" w:line="169" w:lineRule="exact"/>
        <w:rPr>
          <w:rFonts w:ascii="Arial" w:cs="Arial" w:eastAsia="Arial" w:hAnsi="Arial"/>
          <w:sz w:val="17"/>
          <w:szCs w:val="17"/>
          <w:color w:val="auto"/>
        </w:rPr>
      </w:pPr>
    </w:p>
    <w:p>
      <w:pPr>
        <w:ind w:left="1220" w:hanging="65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The terms of Section 12.1 of the Plan regarding death and Disability shall apply to this Award.</w:t>
      </w:r>
    </w:p>
    <w:p>
      <w:pPr>
        <w:spacing w:after="0" w:line="229" w:lineRule="exact"/>
        <w:rPr>
          <w:rFonts w:ascii="Arial" w:cs="Arial" w:eastAsia="Arial" w:hAnsi="Arial"/>
          <w:sz w:val="18"/>
          <w:szCs w:val="18"/>
          <w:color w:val="auto"/>
        </w:rPr>
      </w:pPr>
    </w:p>
    <w:p>
      <w:pPr>
        <w:jc w:val="both"/>
        <w:ind w:left="1220" w:right="20" w:hanging="658"/>
        <w:spacing w:after="0" w:line="291" w:lineRule="auto"/>
        <w:tabs>
          <w:tab w:leader="none" w:pos="1220" w:val="left"/>
        </w:tabs>
        <w:numPr>
          <w:ilvl w:val="0"/>
          <w:numId w:val="15"/>
        </w:numPr>
        <w:rPr>
          <w:rFonts w:ascii="Arial" w:cs="Arial" w:eastAsia="Arial" w:hAnsi="Arial"/>
          <w:sz w:val="16"/>
          <w:szCs w:val="16"/>
          <w:color w:val="auto"/>
        </w:rPr>
      </w:pPr>
      <w:r>
        <w:rPr>
          <w:rFonts w:ascii="Arial" w:cs="Arial" w:eastAsia="Arial" w:hAnsi="Arial"/>
          <w:sz w:val="18"/>
          <w:szCs w:val="18"/>
          <w:u w:val="single" w:color="auto"/>
          <w:color w:val="auto"/>
        </w:rPr>
        <w:t>Termination by the Company of You without Cause or by You for Good Reason</w:t>
      </w:r>
      <w:r>
        <w:rPr>
          <w:rFonts w:ascii="Arial" w:cs="Arial" w:eastAsia="Arial" w:hAnsi="Arial"/>
          <w:sz w:val="18"/>
          <w:szCs w:val="18"/>
          <w:color w:val="auto"/>
        </w:rPr>
        <w:t>. If You are terminated by the Company without Cause, or if You terminate for Good Reason, You will vest in the next tranche of Restricted Shares that are scheduled to vest on the vesting date next following your date of termination, and the remaining Restricted Shares will be forfeited.</w:t>
      </w:r>
    </w:p>
    <w:p>
      <w:pPr>
        <w:spacing w:after="0" w:line="165" w:lineRule="exact"/>
        <w:rPr>
          <w:rFonts w:ascii="Arial" w:cs="Arial" w:eastAsia="Arial" w:hAnsi="Arial"/>
          <w:sz w:val="16"/>
          <w:szCs w:val="16"/>
          <w:color w:val="auto"/>
        </w:rPr>
      </w:pPr>
    </w:p>
    <w:p>
      <w:pPr>
        <w:jc w:val="both"/>
        <w:ind w:left="1220" w:hanging="65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The terms of Section 12.2 of the Plan regarding accelerated vesting upon Retirement shall not apply to this Award. For the avoidance of doubt, any unvested Restricted Shares shall be forfeited upon a termination by You on account of Retirement before you reach age 65.</w:t>
      </w:r>
    </w:p>
    <w:p>
      <w:pPr>
        <w:sectPr>
          <w:pgSz w:w="11900" w:h="16838" w:orient="portrait"/>
          <w:cols w:equalWidth="0" w:num="1">
            <w:col w:w="11420"/>
          </w:cols>
          <w:pgMar w:left="240" w:top="580" w:right="239" w:bottom="1440" w:gutter="0" w:footer="0" w:header="0"/>
        </w:sectPr>
      </w:pPr>
    </w:p>
    <w:bookmarkStart w:id="75" w:name="page76"/>
    <w:bookmarkEnd w:id="75"/>
    <w:p>
      <w:pPr>
        <w:jc w:val="both"/>
        <w:ind w:left="658" w:hanging="658"/>
        <w:spacing w:after="0" w:line="246" w:lineRule="auto"/>
        <w:tabs>
          <w:tab w:leader="none" w:pos="658" w:val="left"/>
        </w:tabs>
        <w:numPr>
          <w:ilvl w:val="0"/>
          <w:numId w:val="16"/>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15 of the Plan to the contrary, the Award will not vest immediately upon a Change in Control, but shall only vest if a Change in Control occurs and Your employment is terminated at or after the occurrence of a Change in Control due to your death, Disability, termination of You by the Company without Cause, or termination by You for Good Reason.</w:t>
      </w:r>
    </w:p>
    <w:p>
      <w:pPr>
        <w:spacing w:after="0" w:line="205" w:lineRule="exact"/>
        <w:rPr>
          <w:rFonts w:ascii="Arial" w:cs="Arial" w:eastAsia="Arial" w:hAnsi="Arial"/>
          <w:sz w:val="18"/>
          <w:szCs w:val="18"/>
          <w:color w:val="auto"/>
        </w:rPr>
      </w:pPr>
    </w:p>
    <w:p>
      <w:pPr>
        <w:jc w:val="both"/>
        <w:ind w:left="658" w:hanging="658"/>
        <w:spacing w:after="0" w:line="275" w:lineRule="auto"/>
        <w:tabs>
          <w:tab w:leader="none" w:pos="658" w:val="left"/>
        </w:tabs>
        <w:numPr>
          <w:ilvl w:val="0"/>
          <w:numId w:val="16"/>
        </w:numPr>
        <w:rPr>
          <w:rFonts w:ascii="Arial" w:cs="Arial" w:eastAsia="Arial" w:hAnsi="Arial"/>
          <w:sz w:val="16"/>
          <w:szCs w:val="16"/>
          <w:color w:val="auto"/>
        </w:rPr>
      </w:pPr>
      <w:r>
        <w:rPr>
          <w:rFonts w:ascii="Arial" w:cs="Arial" w:eastAsia="Arial" w:hAnsi="Arial"/>
          <w:sz w:val="18"/>
          <w:szCs w:val="18"/>
          <w:u w:val="single" w:color="auto"/>
          <w:color w:val="auto"/>
        </w:rPr>
        <w:t>Definition of Good Reason</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means, without Your written consent: (i) any material diminution in Your duties, authorities, responsibilities or reporting relationships (other than due to Your Disability); or</w:t>
      </w:r>
    </w:p>
    <w:p>
      <w:pPr>
        <w:jc w:val="both"/>
        <w:ind w:left="658" w:hanging="10"/>
        <w:spacing w:after="0" w:line="255" w:lineRule="auto"/>
        <w:tabs>
          <w:tab w:leader="none" w:pos="990" w:val="left"/>
        </w:tabs>
        <w:numPr>
          <w:ilvl w:val="2"/>
          <w:numId w:val="16"/>
        </w:numPr>
        <w:rPr>
          <w:rFonts w:ascii="Arial" w:cs="Arial" w:eastAsia="Arial" w:hAnsi="Arial"/>
          <w:sz w:val="19"/>
          <w:szCs w:val="19"/>
          <w:color w:val="auto"/>
        </w:rPr>
      </w:pPr>
      <w:r>
        <w:rPr>
          <w:rFonts w:ascii="Arial" w:cs="Arial" w:eastAsia="Arial" w:hAnsi="Arial"/>
          <w:sz w:val="19"/>
          <w:szCs w:val="19"/>
          <w:color w:val="auto"/>
        </w:rPr>
        <w:t>the material reduction of Your base salary or annual bonus target; provided that Good Reason shall exist only if the Company fails to cure such event within thirty (30) days following receipt from You of written notice of the event which constitutes Good Reason (the “</w:t>
      </w:r>
      <w:r>
        <w:rPr>
          <w:rFonts w:ascii="Arial" w:cs="Arial" w:eastAsia="Arial" w:hAnsi="Arial"/>
          <w:sz w:val="19"/>
          <w:szCs w:val="19"/>
          <w:u w:val="single" w:color="auto"/>
          <w:color w:val="auto"/>
        </w:rPr>
        <w:t>Cure Period</w:t>
      </w:r>
      <w:r>
        <w:rPr>
          <w:rFonts w:ascii="Arial" w:cs="Arial" w:eastAsia="Arial" w:hAnsi="Arial"/>
          <w:sz w:val="19"/>
          <w:szCs w:val="19"/>
          <w:color w:val="auto"/>
        </w:rPr>
        <w:t>”); provided further, that Good Reason shall cease to exist for an event on the 60th day following the later of its occurrence or Your knowledge thereof, unless You have given the Company written notice thereof prior to such date; provided further that Good Reason shall cease to exist for an event if You fail to terminate his employment for Good Reason within ninety (90) days after the end of the Cure Period.</w:t>
      </w:r>
    </w:p>
    <w:p>
      <w:pPr>
        <w:spacing w:after="0" w:line="211" w:lineRule="exact"/>
        <w:rPr>
          <w:rFonts w:ascii="Arial" w:cs="Arial" w:eastAsia="Arial" w:hAnsi="Arial"/>
          <w:sz w:val="19"/>
          <w:szCs w:val="19"/>
          <w:color w:val="auto"/>
        </w:rPr>
      </w:pPr>
    </w:p>
    <w:p>
      <w:pPr>
        <w:jc w:val="both"/>
        <w:ind w:left="-562" w:firstLine="656"/>
        <w:spacing w:after="0" w:line="305" w:lineRule="auto"/>
        <w:tabs>
          <w:tab w:leader="none" w:pos="870" w:val="left"/>
        </w:tabs>
        <w:numPr>
          <w:ilvl w:val="1"/>
          <w:numId w:val="16"/>
        </w:numPr>
        <w:rPr>
          <w:rFonts w:ascii="Arial" w:cs="Arial" w:eastAsia="Arial" w:hAnsi="Arial"/>
          <w:sz w:val="16"/>
          <w:szCs w:val="16"/>
          <w:color w:val="auto"/>
        </w:rPr>
      </w:pPr>
      <w:r>
        <w:rPr>
          <w:rFonts w:ascii="Arial" w:cs="Arial" w:eastAsia="Arial" w:hAnsi="Arial"/>
          <w:sz w:val="18"/>
          <w:szCs w:val="18"/>
          <w:u w:val="single" w:color="auto"/>
          <w:color w:val="auto"/>
        </w:rPr>
        <w:t>Ownership Rights</w:t>
      </w:r>
      <w:r>
        <w:rPr>
          <w:rFonts w:ascii="Arial" w:cs="Arial" w:eastAsia="Arial" w:hAnsi="Arial"/>
          <w:sz w:val="18"/>
          <w:szCs w:val="18"/>
          <w:color w:val="auto"/>
        </w:rPr>
        <w:t>. As a holder of Restricted Shares, You are generally entitled to all voting and ownership rights of a holder of Stock, including the right to receive any dividends, including Stock dividends, which may be paid to holders of Stock, provided, however, that any shares of Stock received by You as a result a Stock dividend or other adjustment in capitalization shall be subject to the same risk of forfeiture, certificate delivery provisions and restrictions on transfer as the forfeitable Restricted Shares in respect of which they are issued and shall become Restricted Shares for the purposes of this Agreement, and provided further that any dividend paid with respect to unvested Restricted Shares for which an election under Section 83(b) of the Code has not been made (i) constitutes compensation income subject to all applicable tax withholding and (ii) shall be paid on or about the date that such dividend is paid to holders of the Company’s Stock generally.</w:t>
      </w:r>
    </w:p>
    <w:p>
      <w:pPr>
        <w:spacing w:after="0" w:line="184" w:lineRule="exact"/>
        <w:rPr>
          <w:rFonts w:ascii="Arial" w:cs="Arial" w:eastAsia="Arial" w:hAnsi="Arial"/>
          <w:sz w:val="16"/>
          <w:szCs w:val="16"/>
          <w:color w:val="auto"/>
        </w:rPr>
      </w:pPr>
    </w:p>
    <w:p>
      <w:pPr>
        <w:jc w:val="both"/>
        <w:ind w:left="-562" w:firstLine="656"/>
        <w:spacing w:after="0" w:line="307" w:lineRule="auto"/>
        <w:tabs>
          <w:tab w:leader="none" w:pos="870" w:val="left"/>
        </w:tabs>
        <w:numPr>
          <w:ilvl w:val="1"/>
          <w:numId w:val="16"/>
        </w:numPr>
        <w:rPr>
          <w:rFonts w:ascii="Arial" w:cs="Arial" w:eastAsia="Arial" w:hAnsi="Arial"/>
          <w:sz w:val="16"/>
          <w:szCs w:val="16"/>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An electronic stock certificate evidencing the Restricted Shares shall be issued as of the Grant Date, shall be registered in your name, shall bear a legend referring to the restrictions applicable to the Restricted Shares, and shall be held by the transfer agent of the Company in an account established by the transfer agent in your name. You shall, simultaneously with execution of this Agreement, execute and deliver in blank a stock power to facilitate the transfer of the Restricted Shares in the event of a forfeiture of the Restricted Shares. Subject to Section 10 of this Agreement, applicable stock certificates representing Restricted Shares as to which restrictions have lapsed as of any Vesting Date will be delivered to You as soon as practicable after such Vesting Date.</w:t>
      </w:r>
    </w:p>
    <w:p>
      <w:pPr>
        <w:spacing w:after="0" w:line="180" w:lineRule="exact"/>
        <w:rPr>
          <w:rFonts w:ascii="Arial" w:cs="Arial" w:eastAsia="Arial" w:hAnsi="Arial"/>
          <w:sz w:val="16"/>
          <w:szCs w:val="16"/>
          <w:color w:val="auto"/>
        </w:rPr>
      </w:pPr>
    </w:p>
    <w:p>
      <w:pPr>
        <w:ind w:left="-562" w:firstLine="656"/>
        <w:spacing w:after="0" w:line="289" w:lineRule="auto"/>
        <w:tabs>
          <w:tab w:leader="none" w:pos="870" w:val="left"/>
        </w:tabs>
        <w:numPr>
          <w:ilvl w:val="1"/>
          <w:numId w:val="16"/>
        </w:numPr>
        <w:rPr>
          <w:rFonts w:ascii="Arial" w:cs="Arial" w:eastAsia="Arial" w:hAnsi="Arial"/>
          <w:sz w:val="18"/>
          <w:szCs w:val="18"/>
          <w:color w:val="auto"/>
        </w:rPr>
      </w:pPr>
      <w:r>
        <w:rPr>
          <w:rFonts w:ascii="Arial" w:cs="Arial" w:eastAsia="Arial" w:hAnsi="Arial"/>
          <w:sz w:val="20"/>
          <w:szCs w:val="20"/>
          <w:u w:val="single" w:color="auto"/>
          <w:color w:val="auto"/>
        </w:rPr>
        <w:t>No Right to Remain as an Employee</w:t>
      </w:r>
      <w:r>
        <w:rPr>
          <w:rFonts w:ascii="Arial" w:cs="Arial" w:eastAsia="Arial" w:hAnsi="Arial"/>
          <w:sz w:val="20"/>
          <w:szCs w:val="20"/>
          <w:color w:val="auto"/>
        </w:rPr>
        <w:t>. Neither the existence of the Plan nor the grant of this Restricted Stock shall obligate the Company to retain You as an employee.</w:t>
      </w:r>
    </w:p>
    <w:p>
      <w:pPr>
        <w:spacing w:after="0" w:line="188" w:lineRule="exact"/>
        <w:rPr>
          <w:rFonts w:ascii="Arial" w:cs="Arial" w:eastAsia="Arial" w:hAnsi="Arial"/>
          <w:sz w:val="18"/>
          <w:szCs w:val="18"/>
          <w:color w:val="auto"/>
        </w:rPr>
      </w:pPr>
    </w:p>
    <w:p>
      <w:pPr>
        <w:ind w:left="878" w:hanging="784"/>
        <w:spacing w:after="0"/>
        <w:tabs>
          <w:tab w:leader="none" w:pos="878" w:val="left"/>
        </w:tabs>
        <w:numPr>
          <w:ilvl w:val="1"/>
          <w:numId w:val="16"/>
        </w:numPr>
        <w:rPr>
          <w:rFonts w:ascii="Arial" w:cs="Arial" w:eastAsia="Arial" w:hAnsi="Arial"/>
          <w:sz w:val="18"/>
          <w:szCs w:val="18"/>
          <w:color w:val="auto"/>
        </w:rPr>
      </w:pPr>
      <w:r>
        <w:rPr>
          <w:rFonts w:ascii="Arial" w:cs="Arial" w:eastAsia="Arial" w:hAnsi="Arial"/>
          <w:sz w:val="20"/>
          <w:szCs w:val="20"/>
          <w:u w:val="single" w:color="auto"/>
          <w:color w:val="auto"/>
        </w:rPr>
        <w:t>Shares Non-transferable</w:t>
      </w:r>
      <w:r>
        <w:rPr>
          <w:rFonts w:ascii="Arial" w:cs="Arial" w:eastAsia="Arial" w:hAnsi="Arial"/>
          <w:sz w:val="20"/>
          <w:szCs w:val="20"/>
          <w:color w:val="auto"/>
        </w:rPr>
        <w:t>. The Restricted Shares are not transferable until such shares become non-forfeitable.</w:t>
      </w:r>
    </w:p>
    <w:p>
      <w:pPr>
        <w:spacing w:after="0" w:line="256" w:lineRule="exact"/>
        <w:rPr>
          <w:rFonts w:ascii="Arial" w:cs="Arial" w:eastAsia="Arial" w:hAnsi="Arial"/>
          <w:sz w:val="18"/>
          <w:szCs w:val="18"/>
          <w:color w:val="auto"/>
        </w:rPr>
      </w:pPr>
    </w:p>
    <w:p>
      <w:pPr>
        <w:jc w:val="both"/>
        <w:ind w:left="-562" w:firstLine="656"/>
        <w:spacing w:after="0" w:line="314"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is not required to issue certificates for unrestricted shares of Stock upon any Vesting Date unless You (or your estate or personal representative) first pay to the Company such amount, if any, as it may request to satisfy any liability it may have to withhold federal, state, or local income or other taxes relating to the Restricted Shares which vest on such Vesting Date. The Company shall have the right to take such other action as may be necessary or appropriate to satisfy any tax withholding obligations.</w:t>
      </w:r>
    </w:p>
    <w:p>
      <w:pPr>
        <w:spacing w:after="0" w:line="172" w:lineRule="exact"/>
        <w:rPr>
          <w:rFonts w:ascii="Arial" w:cs="Arial" w:eastAsia="Arial" w:hAnsi="Arial"/>
          <w:sz w:val="16"/>
          <w:szCs w:val="16"/>
          <w:color w:val="auto"/>
        </w:rPr>
      </w:pPr>
    </w:p>
    <w:p>
      <w:pPr>
        <w:ind w:left="-562" w:right="20" w:firstLine="656"/>
        <w:spacing w:after="0" w:line="289" w:lineRule="auto"/>
        <w:tabs>
          <w:tab w:leader="none" w:pos="953" w:val="left"/>
        </w:tabs>
        <w:numPr>
          <w:ilvl w:val="1"/>
          <w:numId w:val="16"/>
        </w:numPr>
        <w:rPr>
          <w:rFonts w:ascii="Arial" w:cs="Arial" w:eastAsia="Arial" w:hAnsi="Arial"/>
          <w:sz w:val="18"/>
          <w:szCs w:val="18"/>
          <w:color w:val="auto"/>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The Plan is an integral part of, and is incorporated by reference in, this Agreement. Any capitalized terms not defined in this Agreement shall have the meanings specified in the Plan.</w:t>
      </w:r>
    </w:p>
    <w:p>
      <w:pPr>
        <w:spacing w:after="0" w:line="188" w:lineRule="exact"/>
        <w:rPr>
          <w:rFonts w:ascii="Arial" w:cs="Arial" w:eastAsia="Arial" w:hAnsi="Arial"/>
          <w:sz w:val="18"/>
          <w:szCs w:val="18"/>
          <w:color w:val="auto"/>
        </w:rPr>
      </w:pPr>
    </w:p>
    <w:p>
      <w:pPr>
        <w:jc w:val="both"/>
        <w:ind w:left="-562" w:firstLine="656"/>
        <w:spacing w:after="0" w:line="278"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This Agreement may be amended only by a writing executed by the Company and You which specifically states that it amends this Agreement. The Board can amend the Plan as provided therein, except that no such amendment shall adversely affect your rights under this Agreement without your consent.</w:t>
      </w:r>
    </w:p>
    <w:p>
      <w:pPr>
        <w:sectPr>
          <w:pgSz w:w="11900" w:h="16838" w:orient="portrait"/>
          <w:cols w:equalWidth="0" w:num="1">
            <w:col w:w="10858"/>
          </w:cols>
          <w:pgMar w:left="802" w:top="811" w:right="239" w:bottom="1440" w:gutter="0" w:footer="0" w:header="0"/>
        </w:sectPr>
      </w:pPr>
    </w:p>
    <w:bookmarkStart w:id="76" w:name="page77"/>
    <w:bookmarkEnd w:id="76"/>
    <w:p>
      <w:pPr>
        <w:jc w:val="both"/>
        <w:ind w:firstLine="656"/>
        <w:spacing w:after="0" w:line="274" w:lineRule="auto"/>
        <w:tabs>
          <w:tab w:leader="none" w:pos="1521" w:val="left"/>
        </w:tabs>
        <w:numPr>
          <w:ilvl w:val="0"/>
          <w:numId w:val="17"/>
        </w:numPr>
        <w:rPr>
          <w:rFonts w:ascii="Arial" w:cs="Arial" w:eastAsia="Arial" w:hAnsi="Arial"/>
          <w:sz w:val="18"/>
          <w:szCs w:val="18"/>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its Treasurer.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205" w:lineRule="exact"/>
        <w:rPr>
          <w:rFonts w:ascii="Arial" w:cs="Arial" w:eastAsia="Arial" w:hAnsi="Arial"/>
          <w:sz w:val="18"/>
          <w:szCs w:val="18"/>
          <w:color w:val="auto"/>
        </w:rPr>
      </w:pPr>
    </w:p>
    <w:p>
      <w:pPr>
        <w:jc w:val="both"/>
        <w:ind w:firstLine="656"/>
        <w:spacing w:after="0" w:line="274" w:lineRule="auto"/>
        <w:tabs>
          <w:tab w:leader="none" w:pos="1521" w:val="left"/>
        </w:tabs>
        <w:numPr>
          <w:ilvl w:val="0"/>
          <w:numId w:val="17"/>
        </w:numPr>
        <w:rPr>
          <w:rFonts w:ascii="Arial" w:cs="Arial" w:eastAsia="Arial" w:hAnsi="Arial"/>
          <w:sz w:val="18"/>
          <w:szCs w:val="18"/>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part of this Agreement is declared by any court or governmental authority to be unlawful or invalid, such unlawfulness or invalidity shall not serve to invalidate any part of the Agreement not declared to be unlawful or invalid. Any part so declared unlawful or invalid shall, if possible, be construed in a manner which gives effect to the terms of such part to the fullest extent possible while remaining lawful and valid.</w:t>
      </w:r>
    </w:p>
    <w:p>
      <w:pPr>
        <w:spacing w:after="0" w:line="205" w:lineRule="exact"/>
        <w:rPr>
          <w:rFonts w:ascii="Arial" w:cs="Arial" w:eastAsia="Arial" w:hAnsi="Arial"/>
          <w:sz w:val="18"/>
          <w:szCs w:val="18"/>
          <w:color w:val="auto"/>
        </w:rPr>
      </w:pPr>
    </w:p>
    <w:p>
      <w:pPr>
        <w:ind w:left="1520" w:hanging="864"/>
        <w:spacing w:after="0"/>
        <w:tabs>
          <w:tab w:leader="none" w:pos="1520" w:val="left"/>
        </w:tabs>
        <w:numPr>
          <w:ilvl w:val="0"/>
          <w:numId w:val="17"/>
        </w:numPr>
        <w:rPr>
          <w:rFonts w:ascii="Arial" w:cs="Arial" w:eastAsia="Arial" w:hAnsi="Arial"/>
          <w:sz w:val="17"/>
          <w:szCs w:val="17"/>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This Agreement shall be governed by the substantive laws (excluding the conflict of laws rules) of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State of Delaware.</w:t>
      </w:r>
    </w:p>
    <w:p>
      <w:pPr>
        <w:spacing w:after="0" w:line="256" w:lineRule="exact"/>
        <w:rPr>
          <w:rFonts w:ascii="Arial" w:cs="Arial" w:eastAsia="Arial" w:hAnsi="Arial"/>
          <w:sz w:val="17"/>
          <w:szCs w:val="17"/>
          <w:color w:val="auto"/>
        </w:rPr>
      </w:pPr>
    </w:p>
    <w:p>
      <w:pPr>
        <w:ind w:firstLine="656"/>
        <w:spacing w:after="0" w:line="289" w:lineRule="auto"/>
        <w:tabs>
          <w:tab w:leader="none" w:pos="1521" w:val="left"/>
        </w:tabs>
        <w:numPr>
          <w:ilvl w:val="0"/>
          <w:numId w:val="17"/>
        </w:numPr>
        <w:rPr>
          <w:rFonts w:ascii="Arial" w:cs="Arial" w:eastAsia="Arial" w:hAnsi="Arial"/>
          <w:sz w:val="18"/>
          <w:szCs w:val="18"/>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in this Agreement are provided for convenience only and are not to serve as a basis for interpretation or construction of this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Please indicate your acceptance of this Agreement by signing the enclosed copy in the space provided below and returning to the Treasurer of the Company, the signed copy of this Agreement and a stock power executed by You in blank. Please do so at your earliest convenience, and in any event within 10 days after the date of this Agreement.</w:t>
      </w:r>
    </w:p>
    <w:p>
      <w:pPr>
        <w:spacing w:after="0" w:line="315"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OIL-DRI CORPORATION OF AMERICA</w:t>
      </w:r>
    </w:p>
    <w:p>
      <w:pPr>
        <w:spacing w:after="0" w:line="343"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By:______________________________________</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ACCEPTED AND AGREED:</w:t>
      </w:r>
    </w:p>
    <w:p>
      <w:pPr>
        <w:spacing w:after="0" w:line="337"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Participant</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Date: ____________________</w:t>
      </w:r>
    </w:p>
    <w:p>
      <w:pPr>
        <w:sectPr>
          <w:pgSz w:w="11900" w:h="16838" w:orient="portrait"/>
          <w:cols w:equalWidth="0" w:num="1">
            <w:col w:w="11420"/>
          </w:cols>
          <w:pgMar w:left="240" w:top="82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6"/>
              </w:rPr>
              <w:t>Year Ended July 31,</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10,792</w:t>
            </w:r>
          </w:p>
        </w:tc>
      </w:tr>
      <w:tr>
        <w:trPr>
          <w:trHeight w:val="24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Less: Distributed and undistributed earnings allocated to nonvested restricted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0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Calculation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66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r>
      <w:tr>
        <w:trPr>
          <w:trHeight w:val="250"/>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r>
      <w:tr>
        <w:trPr>
          <w:trHeight w:val="24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2,083</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 and non-vested 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7,222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w:t>
            </w:r>
          </w:p>
        </w:tc>
      </w:tr>
      <w:tr>
        <w:trPr>
          <w:trHeight w:val="257"/>
        </w:trPr>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Common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51"/>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Net Income Per Share: Diluted Common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20"/>
          </w:cols>
          <w:pgMar w:left="240" w:top="364" w:right="8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4120" w:type="dxa"/>
            <w:vAlign w:val="bottom"/>
          </w:tcPr>
          <w:p>
            <w:pPr>
              <w:ind w:left="46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4120" w:type="dxa"/>
            <w:vAlign w:val="bottom"/>
          </w:tcPr>
          <w:p>
            <w:pPr>
              <w:ind w:left="46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Amlan Trading (Shenzhen) Company, Ltd.</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Blue Mountain Production Company</w:t>
            </w:r>
          </w:p>
        </w:tc>
        <w:tc>
          <w:tcPr>
            <w:tcW w:w="4120" w:type="dxa"/>
            <w:vAlign w:val="bottom"/>
          </w:tcPr>
          <w:p>
            <w:pPr>
              <w:ind w:left="460"/>
              <w:spacing w:after="0"/>
              <w:rPr>
                <w:sz w:val="20"/>
                <w:szCs w:val="20"/>
                <w:color w:val="auto"/>
              </w:rPr>
            </w:pPr>
            <w:r>
              <w:rPr>
                <w:rFonts w:ascii="Arial" w:cs="Arial" w:eastAsia="Arial" w:hAnsi="Arial"/>
                <w:sz w:val="18"/>
                <w:szCs w:val="18"/>
                <w:color w:val="auto"/>
              </w:rPr>
              <w:t>Mississippi</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Delaware</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Mounds Production Company, LLC</w:t>
            </w:r>
          </w:p>
        </w:tc>
        <w:tc>
          <w:tcPr>
            <w:tcW w:w="4120" w:type="dxa"/>
            <w:vAlign w:val="bottom"/>
          </w:tcPr>
          <w:p>
            <w:pPr>
              <w:ind w:left="460"/>
              <w:spacing w:after="0"/>
              <w:rPr>
                <w:sz w:val="20"/>
                <w:szCs w:val="20"/>
                <w:color w:val="auto"/>
              </w:rPr>
            </w:pPr>
            <w:r>
              <w:rPr>
                <w:rFonts w:ascii="Arial" w:cs="Arial" w:eastAsia="Arial" w:hAnsi="Arial"/>
                <w:sz w:val="18"/>
                <w:szCs w:val="18"/>
                <w:color w:val="auto"/>
              </w:rPr>
              <w:t>Illinois</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Illinois</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Oil-Dri Canada ULC</w:t>
            </w:r>
          </w:p>
        </w:tc>
        <w:tc>
          <w:tcPr>
            <w:tcW w:w="4120" w:type="dxa"/>
            <w:vAlign w:val="bottom"/>
          </w:tcPr>
          <w:p>
            <w:pPr>
              <w:ind w:left="460"/>
              <w:spacing w:after="0"/>
              <w:rPr>
                <w:sz w:val="20"/>
                <w:szCs w:val="20"/>
                <w:color w:val="auto"/>
              </w:rPr>
            </w:pPr>
            <w:r>
              <w:rPr>
                <w:rFonts w:ascii="Arial" w:cs="Arial" w:eastAsia="Arial" w:hAnsi="Arial"/>
                <w:sz w:val="18"/>
                <w:szCs w:val="18"/>
                <w:color w:val="auto"/>
              </w:rPr>
              <w:t>Canada</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Oil-Dri Corporation of Georgia</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Georgia</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Amlan International</w:t>
            </w:r>
          </w:p>
        </w:tc>
        <w:tc>
          <w:tcPr>
            <w:tcW w:w="4120" w:type="dxa"/>
            <w:vAlign w:val="bottom"/>
          </w:tcPr>
          <w:p>
            <w:pPr>
              <w:ind w:left="460"/>
              <w:spacing w:after="0"/>
              <w:rPr>
                <w:sz w:val="20"/>
                <w:szCs w:val="20"/>
                <w:color w:val="auto"/>
              </w:rPr>
            </w:pPr>
            <w:r>
              <w:rPr>
                <w:rFonts w:ascii="Arial" w:cs="Arial" w:eastAsia="Arial" w:hAnsi="Arial"/>
                <w:sz w:val="18"/>
                <w:szCs w:val="18"/>
                <w:color w:val="auto"/>
              </w:rPr>
              <w:t>Nevada</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Oil-Dri Production Company</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Mississippi</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Oil-Dri SARL</w:t>
            </w:r>
          </w:p>
        </w:tc>
        <w:tc>
          <w:tcPr>
            <w:tcW w:w="4120" w:type="dxa"/>
            <w:vAlign w:val="bottom"/>
          </w:tcPr>
          <w:p>
            <w:pPr>
              <w:ind w:left="460"/>
              <w:spacing w:after="0"/>
              <w:rPr>
                <w:sz w:val="20"/>
                <w:szCs w:val="20"/>
                <w:color w:val="auto"/>
              </w:rPr>
            </w:pPr>
            <w:r>
              <w:rPr>
                <w:rFonts w:ascii="Arial" w:cs="Arial" w:eastAsia="Arial" w:hAnsi="Arial"/>
                <w:sz w:val="18"/>
                <w:szCs w:val="18"/>
                <w:color w:val="auto"/>
              </w:rPr>
              <w:t>Switzerland</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Oil-Dri (U.K.) Limited</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United Kingdom</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Taft Production Company</w:t>
            </w:r>
          </w:p>
        </w:tc>
        <w:tc>
          <w:tcPr>
            <w:tcW w:w="4120" w:type="dxa"/>
            <w:vAlign w:val="bottom"/>
          </w:tcPr>
          <w:p>
            <w:pPr>
              <w:ind w:left="4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364"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issued our report dated October 12, 2018,with respect to the consolidated financial statements and internal control over financial reporting included in the Annual Report of Oil-Dri Corporation of America on Form 10-K for the year ended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July 31, 2018. We consent to the incorporation by reference of said report in the Registration Statements of Oil-Dri Corporation of America on Form S-8 (File No. 333-139550).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12, 2018</w:t>
      </w:r>
    </w:p>
    <w:p>
      <w:pPr>
        <w:sectPr>
          <w:pgSz w:w="11900" w:h="16838" w:orient="portrait"/>
          <w:cols w:equalWidth="0" w:num="1">
            <w:col w:w="11420"/>
          </w:cols>
          <w:pgMar w:left="240" w:top="364"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40"/>
              <w:spacing w:after="0"/>
              <w:rPr>
                <w:sz w:val="20"/>
                <w:szCs w:val="20"/>
                <w:color w:val="auto"/>
              </w:rPr>
            </w:pPr>
            <w:r>
              <w:rPr>
                <w:rFonts w:ascii="Arial" w:cs="Arial" w:eastAsia="Arial" w:hAnsi="Arial"/>
                <w:sz w:val="18"/>
                <w:szCs w:val="18"/>
                <w:color w:val="auto"/>
              </w:rPr>
              <w:t>October 12, 2018</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Daniel S. Jaffee</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Daniel S. Jaffee</w:t>
            </w:r>
          </w:p>
        </w:tc>
      </w:tr>
      <w:tr>
        <w:trPr>
          <w:trHeight w:val="297"/>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9"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ind w:left="20"/>
              <w:spacing w:after="0"/>
              <w:rPr>
                <w:sz w:val="20"/>
                <w:szCs w:val="20"/>
                <w:color w:val="auto"/>
              </w:rPr>
            </w:pPr>
            <w:r>
              <w:rPr>
                <w:rFonts w:ascii="Arial" w:cs="Arial" w:eastAsia="Arial" w:hAnsi="Arial"/>
                <w:sz w:val="18"/>
                <w:szCs w:val="18"/>
                <w:color w:val="auto"/>
              </w:rPr>
              <w:t>October 12, 2018</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318"/>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585"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12,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12,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0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2018.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0" w:type="dxa"/>
            <w:vAlign w:val="bottom"/>
            <w:gridSpan w:val="2"/>
          </w:tcPr>
          <w:p>
            <w:pPr>
              <w:ind w:left="106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107(a)</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Total Dollar</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Citations and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Proposed MSHA</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4"/>
              </w:rPr>
              <w:t>Last Day of</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8"/>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20"/>
              <w:spacing w:after="0"/>
              <w:rPr>
                <w:sz w:val="20"/>
                <w:szCs w:val="20"/>
                <w:color w:val="auto"/>
              </w:rPr>
            </w:pPr>
            <w:r>
              <w:rPr>
                <w:rFonts w:ascii="Arial" w:cs="Arial" w:eastAsia="Arial" w:hAnsi="Arial"/>
                <w:sz w:val="18"/>
                <w:szCs w:val="18"/>
                <w:color w:val="auto"/>
              </w:rPr>
              <w:t>Period</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2"/>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0"/>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3,858</w:t>
            </w: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3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2,126</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1,993</w:t>
            </w: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116</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3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64,052</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2018.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95"/>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lvl w:ilvl="1">
      <w:lvlJc w:val="left"/>
      <w:lvlText w:val="%2."/>
      <w:numFmt w:val="decimal"/>
      <w:start w:val="4"/>
    </w:lvl>
  </w:abstractNum>
  <w:abstractNum w:abstractNumId="14">
    <w:nsid w:val="25E45D32"/>
    <w:multiLevelType w:val="hybridMultilevel"/>
    <w:lvl w:ilvl="0">
      <w:lvlJc w:val="left"/>
      <w:lvlText w:val="(%1)"/>
      <w:numFmt w:val="lowerLetter"/>
      <w:start w:val="1"/>
    </w:lvl>
    <w:lvl w:ilvl="1">
      <w:lvlJc w:val="left"/>
      <w:lvlText w:val="%2"/>
      <w:numFmt w:val="decimal"/>
      <w:start w:val="1"/>
    </w:lvl>
  </w:abstractNum>
  <w:abstractNum w:abstractNumId="15">
    <w:nsid w:val="519B500D"/>
    <w:multiLevelType w:val="hybridMultilevel"/>
    <w:lvl w:ilvl="0">
      <w:lvlJc w:val="left"/>
      <w:lvlText w:val="(%1)"/>
      <w:numFmt w:val="lowerLetter"/>
      <w:start w:val="4"/>
    </w:lvl>
    <w:lvl w:ilvl="1">
      <w:lvlJc w:val="left"/>
      <w:lvlText w:val="%2."/>
      <w:numFmt w:val="decimal"/>
      <w:start w:val="5"/>
    </w:lvl>
    <w:lvl w:ilvl="2">
      <w:lvlJc w:val="left"/>
      <w:lvlText w:val="(%3)"/>
      <w:numFmt w:val="lowerLetter"/>
      <w:start w:val="35"/>
    </w:lvl>
  </w:abstractNum>
  <w:abstractNum w:abstractNumId="16">
    <w:nsid w:val="431BD7B7"/>
    <w:multiLevelType w:val="hybridMultilevel"/>
    <w:lvl w:ilvl="0">
      <w:lvlJc w:val="left"/>
      <w:lvlText w:val="%1."/>
      <w:numFmt w:val="decimal"/>
      <w:start w:val="13"/>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6" Type="http://schemas.openxmlformats.org/officeDocument/2006/relationships/image" Target="media/image5.png"/><Relationship Id="rId40" Type="http://schemas.openxmlformats.org/officeDocument/2006/relationships/image" Target="media/image6.png"/><Relationship Id="rId43" Type="http://schemas.openxmlformats.org/officeDocument/2006/relationships/image" Target="media/image7.png"/><Relationship Id="rId44" Type="http://schemas.openxmlformats.org/officeDocument/2006/relationships/image" Target="media/image8.png"/><Relationship Id="rId45" Type="http://schemas.openxmlformats.org/officeDocument/2006/relationships/image" Target="media/image9.png"/><Relationship Id="rId46" Type="http://schemas.openxmlformats.org/officeDocument/2006/relationships/image" Target="media/image10.png"/><Relationship Id="rId11" Type="http://schemas.openxmlformats.org/officeDocument/2006/relationships/hyperlink" Target="http://www.sec.gov/Archives/edgar/data/74046/0000074046-98-000008.txt" TargetMode="External"/><Relationship Id="rId12" Type="http://schemas.openxmlformats.org/officeDocument/2006/relationships/hyperlink" Target="http://www.sec.gov/Archives/edgar/data/74046/000007404618000007/odcex301312018.htm" TargetMode="External"/><Relationship Id="rId13" Type="http://schemas.openxmlformats.org/officeDocument/2006/relationships/hyperlink" Target="http://www.sec.gov/Archives/edgar/data/74046/000007404601500009/fs_1.txt" TargetMode="External"/><Relationship Id="rId14" Type="http://schemas.openxmlformats.org/officeDocument/2006/relationships/hyperlink" Target="http://www.sec.gov/Archives/edgar/data/74046/000120677407002369/exhibit10-2.htm" TargetMode="External"/><Relationship Id="rId16" Type="http://schemas.openxmlformats.org/officeDocument/2006/relationships/hyperlink" Target="http://www.sec.gov/Archives/edgar/data/74046/000114420407066302/v096599_ex10-1.htm" TargetMode="External"/><Relationship Id="rId17" Type="http://schemas.openxmlformats.org/officeDocument/2006/relationships/hyperlink" Target="http://www.sec.gov/Archives/edgar/data/74046/000007404616000094/odcex10407312016.htm" TargetMode="External"/><Relationship Id="rId18" Type="http://schemas.openxmlformats.org/officeDocument/2006/relationships/hyperlink" Target="http://www.sec.gov/Archives/edgar/data/74046/000095013799003743/0000950137-99-003743.txt" TargetMode="External"/><Relationship Id="rId19" Type="http://schemas.openxmlformats.org/officeDocument/2006/relationships/hyperlink" Target="http://www.sec.gov/Archives/edgar/data/74046/000101381606000051/form8k_020106ex101.txt" TargetMode="External"/><Relationship Id="rId20" Type="http://schemas.openxmlformats.org/officeDocument/2006/relationships/hyperlink" Target="http://www.sec.gov/Archives/edgar/data/74046/000114420409013035/v142330_ex10-1.htm" TargetMode="External"/><Relationship Id="rId21" Type="http://schemas.openxmlformats.org/officeDocument/2006/relationships/hyperlink" Target="http://www.sec.gov/Archives/edgar/data/74046/000114420411071922/v244230_ex10.htm" TargetMode="External"/><Relationship Id="rId22" Type="http://schemas.openxmlformats.org/officeDocument/2006/relationships/hyperlink" Target="http://www.sec.gov/Archives/edgar/data/74046/000007404612000012/odcex101207312012.htm" TargetMode="External"/><Relationship Id="rId23" Type="http://schemas.openxmlformats.org/officeDocument/2006/relationships/hyperlink" Target="http://www.sec.gov/Archives/edgar/data/74046/000007404614000017/odcex10110312014.htm" TargetMode="External"/><Relationship Id="rId24" Type="http://schemas.openxmlformats.org/officeDocument/2006/relationships/hyperlink" Target="http://www.sec.gov/Archives/edgar/data/74046/000114420410061518/v202918_ex10-1.htm" TargetMode="External"/><Relationship Id="rId25" Type="http://schemas.openxmlformats.org/officeDocument/2006/relationships/hyperlink" Target="http://www.sec.gov/Archives/edgar/data/74046/000007404603000021/q3f03x10.txt" TargetMode="External"/><Relationship Id="rId27" Type="http://schemas.openxmlformats.org/officeDocument/2006/relationships/hyperlink" Target="http://www.sec.gov/Archives/edgar/data/74046/000114420408014071/v105960_ex10-1.htm" TargetMode="External"/><Relationship Id="rId28" Type="http://schemas.openxmlformats.org/officeDocument/2006/relationships/hyperlink" Target="http://www.sec.gov/Archives/edgar/data/74046/000114420408014071/v105960_ex10-2.htm" TargetMode="External"/><Relationship Id="rId29" Type="http://schemas.openxmlformats.org/officeDocument/2006/relationships/hyperlink" Target="http://www.sec.gov/Archives/edgar/data/74046/000007404603000021/q3f03exl.txt" TargetMode="External"/><Relationship Id="rId30" Type="http://schemas.openxmlformats.org/officeDocument/2006/relationships/hyperlink" Target="http://www.sec.gov/Archives/edgar/data/74046/000114420408014071/v105960_ex10-4.htm" TargetMode="External"/><Relationship Id="rId31" Type="http://schemas.openxmlformats.org/officeDocument/2006/relationships/hyperlink" Target="http://www.sec.gov/Archives/edgar/data/74046/000114420408014071/v105960_ex10-3.htm" TargetMode="External"/><Relationship Id="rId32" Type="http://schemas.openxmlformats.org/officeDocument/2006/relationships/hyperlink" Target="http://www.sec.gov/Archives/edgar/data/74046/000120677406002257/oildri_nps.htm" TargetMode="External"/><Relationship Id="rId33" Type="http://schemas.openxmlformats.org/officeDocument/2006/relationships/hyperlink" Target="http://www.sec.gov/Archives/edgar/data/74046/000114420408014071/v105960_ex10-5.htm" TargetMode="External"/><Relationship Id="rId34" Type="http://schemas.openxmlformats.org/officeDocument/2006/relationships/hyperlink" Target="http://www.sec.gov/Archives/edgar/data/74046/000007404615000050/odcproxy07312015.htm#s249522831a274fd3a1b004bb0d87f4df" TargetMode="External"/><Relationship Id="rId35" Type="http://schemas.openxmlformats.org/officeDocument/2006/relationships/hyperlink" Target="http://www.sec.gov/Archives/edgar/data/74046/000127528706006429/od8243ex102.htm" TargetMode="External"/><Relationship Id="rId36" Type="http://schemas.openxmlformats.org/officeDocument/2006/relationships/hyperlink" Target="http://www.sec.gov/Archives/edgar/data/74046/000127528706006429/od8243ex103.htm" TargetMode="External"/><Relationship Id="rId37" Type="http://schemas.openxmlformats.org/officeDocument/2006/relationships/hyperlink" Target="http://www.sec.gov/Archives/edgar/data/74046/000127528706006429/od8243ex104.htm" TargetMode="External"/><Relationship Id="rId38" Type="http://schemas.openxmlformats.org/officeDocument/2006/relationships/hyperlink" Target="http://www.sec.gov/Archives/edgar/data/74046/000127528706006429/od8243ex105.htm" TargetMode="External"/><Relationship Id="rId39" Type="http://schemas.openxmlformats.org/officeDocument/2006/relationships/hyperlink" Target="http://www.sec.gov/Archives/edgar/data/74046/000127528706006429/od8243ex106.htm" TargetMode="External"/><Relationship Id="rId41" Type="http://schemas.openxmlformats.org/officeDocument/2006/relationships/hyperlink" Target="http://www.sec.gov/Archives/edgar/data/74046/000127528706006429/od8243ex107.htm" TargetMode="External"/><Relationship Id="rId42" Type="http://schemas.openxmlformats.org/officeDocument/2006/relationships/hyperlink" Target="http://www.sec.gov/Archives/edgar/data/74046/000127528706006429/od8243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2020-01-11T22:07:29Z</dcterms:created>
  <dcterms:modified xsi:type="dcterms:W3CDTF">2020-01-11T22:07:29Z</dcterms:modified>
</cp:coreProperties>
</file>